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57B" w:rsidRPr="00B25571" w:rsidRDefault="00A241A2" w:rsidP="00AC1354">
      <w:pPr>
        <w:spacing w:line="480" w:lineRule="auto"/>
        <w:jc w:val="both"/>
        <w:rPr>
          <w:rFonts w:ascii="Times New Roman" w:eastAsiaTheme="minorEastAsia" w:hAnsi="Times New Roman" w:cs="Times New Roman"/>
          <w:b/>
          <w:sz w:val="32"/>
          <w:szCs w:val="32"/>
          <w:u w:val="single"/>
        </w:rPr>
      </w:pPr>
      <w:r w:rsidRPr="00B25571">
        <w:rPr>
          <w:rFonts w:ascii="Times New Roman" w:eastAsiaTheme="minorEastAsia" w:hAnsi="Times New Roman" w:cs="Times New Roman"/>
          <w:b/>
          <w:sz w:val="32"/>
          <w:szCs w:val="32"/>
          <w:u w:val="single"/>
        </w:rPr>
        <w:t xml:space="preserve">Voorstel voor </w:t>
      </w:r>
      <w:r w:rsidR="00B25571">
        <w:rPr>
          <w:rFonts w:ascii="Times New Roman" w:eastAsiaTheme="minorEastAsia" w:hAnsi="Times New Roman" w:cs="Times New Roman"/>
          <w:b/>
          <w:sz w:val="32"/>
          <w:szCs w:val="32"/>
          <w:u w:val="single"/>
        </w:rPr>
        <w:t xml:space="preserve">een </w:t>
      </w:r>
      <w:r w:rsidRPr="00B25571">
        <w:rPr>
          <w:rFonts w:ascii="Times New Roman" w:eastAsiaTheme="minorEastAsia" w:hAnsi="Times New Roman" w:cs="Times New Roman"/>
          <w:b/>
          <w:sz w:val="32"/>
          <w:szCs w:val="32"/>
          <w:u w:val="single"/>
        </w:rPr>
        <w:t>c</w:t>
      </w:r>
      <w:r w:rsidR="00FB257B" w:rsidRPr="00B25571">
        <w:rPr>
          <w:rFonts w:ascii="Times New Roman" w:eastAsiaTheme="minorEastAsia" w:hAnsi="Times New Roman" w:cs="Times New Roman"/>
          <w:b/>
          <w:sz w:val="32"/>
          <w:szCs w:val="32"/>
          <w:u w:val="single"/>
        </w:rPr>
        <w:t>orrectiefactor voor</w:t>
      </w:r>
      <w:r w:rsidR="00B25571">
        <w:rPr>
          <w:rFonts w:ascii="Times New Roman" w:eastAsiaTheme="minorEastAsia" w:hAnsi="Times New Roman" w:cs="Times New Roman"/>
          <w:b/>
          <w:sz w:val="32"/>
          <w:szCs w:val="32"/>
          <w:u w:val="single"/>
        </w:rPr>
        <w:t xml:space="preserve"> de</w:t>
      </w:r>
      <w:r w:rsidR="00FB257B" w:rsidRPr="00B25571">
        <w:rPr>
          <w:rFonts w:ascii="Times New Roman" w:eastAsiaTheme="minorEastAsia" w:hAnsi="Times New Roman" w:cs="Times New Roman"/>
          <w:b/>
          <w:sz w:val="32"/>
          <w:szCs w:val="32"/>
          <w:u w:val="single"/>
        </w:rPr>
        <w:t xml:space="preserve"> </w:t>
      </w:r>
      <w:r w:rsidRPr="00B25571">
        <w:rPr>
          <w:rFonts w:ascii="Times New Roman" w:eastAsiaTheme="minorEastAsia" w:hAnsi="Times New Roman" w:cs="Times New Roman"/>
          <w:b/>
          <w:sz w:val="32"/>
          <w:szCs w:val="32"/>
          <w:u w:val="single"/>
        </w:rPr>
        <w:t xml:space="preserve">relatieve </w:t>
      </w:r>
      <w:proofErr w:type="spellStart"/>
      <w:r w:rsidR="00FB257B" w:rsidRPr="00B25571">
        <w:rPr>
          <w:rFonts w:ascii="Times New Roman" w:eastAsiaTheme="minorEastAsia" w:hAnsi="Times New Roman" w:cs="Times New Roman"/>
          <w:b/>
          <w:sz w:val="32"/>
          <w:szCs w:val="32"/>
          <w:u w:val="single"/>
        </w:rPr>
        <w:t>efficacy</w:t>
      </w:r>
      <w:proofErr w:type="spellEnd"/>
      <w:r w:rsidR="00FB257B" w:rsidRPr="00B25571">
        <w:rPr>
          <w:rFonts w:ascii="Times New Roman" w:eastAsiaTheme="minorEastAsia" w:hAnsi="Times New Roman" w:cs="Times New Roman"/>
          <w:b/>
          <w:sz w:val="32"/>
          <w:szCs w:val="32"/>
          <w:u w:val="single"/>
        </w:rPr>
        <w:t xml:space="preserve"> van </w:t>
      </w:r>
      <w:r w:rsidRPr="00B25571">
        <w:rPr>
          <w:rFonts w:ascii="Times New Roman" w:eastAsiaTheme="minorEastAsia" w:hAnsi="Times New Roman" w:cs="Times New Roman"/>
          <w:b/>
          <w:sz w:val="32"/>
          <w:szCs w:val="32"/>
          <w:u w:val="single"/>
        </w:rPr>
        <w:t>geneesmiddelen</w:t>
      </w:r>
      <w:r w:rsidR="00FB257B" w:rsidRPr="00B25571">
        <w:rPr>
          <w:rFonts w:ascii="Times New Roman" w:eastAsiaTheme="minorEastAsia" w:hAnsi="Times New Roman" w:cs="Times New Roman"/>
          <w:b/>
          <w:sz w:val="32"/>
          <w:szCs w:val="32"/>
          <w:u w:val="single"/>
        </w:rPr>
        <w:t xml:space="preserve"> met sterke eiwitbinding</w:t>
      </w:r>
    </w:p>
    <w:p w:rsidR="00AC46ED" w:rsidRDefault="006C25AA" w:rsidP="00AC135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Dr. Philip J.G.M. Voets, M.D.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w:t>
      </w:r>
    </w:p>
    <w:p w:rsidR="00E5133F" w:rsidRDefault="00E5133F" w:rsidP="00AC1354">
      <w:pPr>
        <w:spacing w:line="480" w:lineRule="auto"/>
        <w:jc w:val="both"/>
        <w:rPr>
          <w:rFonts w:ascii="Times New Roman" w:hAnsi="Times New Roman" w:cs="Times New Roman"/>
          <w:sz w:val="24"/>
          <w:szCs w:val="24"/>
        </w:rPr>
      </w:pPr>
    </w:p>
    <w:p w:rsidR="001165F4" w:rsidRPr="001165F4" w:rsidRDefault="001165F4" w:rsidP="001165F4">
      <w:pPr>
        <w:pStyle w:val="Lijstalinea"/>
        <w:numPr>
          <w:ilvl w:val="0"/>
          <w:numId w:val="1"/>
        </w:numPr>
        <w:spacing w:line="480" w:lineRule="auto"/>
        <w:jc w:val="both"/>
        <w:rPr>
          <w:rFonts w:ascii="Times New Roman" w:hAnsi="Times New Roman" w:cs="Times New Roman"/>
          <w:b/>
          <w:sz w:val="24"/>
          <w:szCs w:val="24"/>
          <w:u w:val="single"/>
        </w:rPr>
      </w:pPr>
      <w:r w:rsidRPr="001165F4">
        <w:rPr>
          <w:rFonts w:ascii="Times New Roman" w:hAnsi="Times New Roman" w:cs="Times New Roman"/>
          <w:b/>
          <w:sz w:val="24"/>
          <w:szCs w:val="24"/>
          <w:u w:val="single"/>
        </w:rPr>
        <w:t>Achtergrond</w:t>
      </w:r>
    </w:p>
    <w:p w:rsidR="009A3201" w:rsidRDefault="007447B7" w:rsidP="00AC1354">
      <w:pPr>
        <w:spacing w:line="480" w:lineRule="auto"/>
        <w:jc w:val="both"/>
        <w:rPr>
          <w:rFonts w:ascii="Times New Roman" w:hAnsi="Times New Roman" w:cs="Times New Roman"/>
          <w:sz w:val="24"/>
          <w:szCs w:val="24"/>
        </w:rPr>
      </w:pPr>
      <w:r>
        <w:rPr>
          <w:rFonts w:ascii="Times New Roman" w:hAnsi="Times New Roman" w:cs="Times New Roman"/>
          <w:sz w:val="24"/>
          <w:szCs w:val="24"/>
        </w:rPr>
        <w:t>Een groot deel van de veelgebruikte geneesmiddelen in de klinische praktijk kent een ze</w:t>
      </w:r>
      <w:r w:rsidR="006C25AA">
        <w:rPr>
          <w:rFonts w:ascii="Times New Roman" w:hAnsi="Times New Roman" w:cs="Times New Roman"/>
          <w:sz w:val="24"/>
          <w:szCs w:val="24"/>
        </w:rPr>
        <w:t>kere mate van eiwitbinding, di</w:t>
      </w:r>
      <w:r w:rsidR="006C1D06">
        <w:rPr>
          <w:rFonts w:ascii="Times New Roman" w:hAnsi="Times New Roman" w:cs="Times New Roman"/>
          <w:sz w:val="24"/>
          <w:szCs w:val="24"/>
        </w:rPr>
        <w:t>e</w:t>
      </w:r>
      <w:r w:rsidR="006C25AA">
        <w:rPr>
          <w:rFonts w:ascii="Times New Roman" w:hAnsi="Times New Roman" w:cs="Times New Roman"/>
          <w:sz w:val="24"/>
          <w:szCs w:val="24"/>
        </w:rPr>
        <w:t xml:space="preserve"> kan variëren van niet of</w:t>
      </w:r>
      <w:r>
        <w:rPr>
          <w:rFonts w:ascii="Times New Roman" w:hAnsi="Times New Roman" w:cs="Times New Roman"/>
          <w:sz w:val="24"/>
          <w:szCs w:val="24"/>
        </w:rPr>
        <w:t xml:space="preserve"> nauwelijks (e.g., lithium: &lt;1%) tot zeer sterk (e.g., acenocoumarol: &gt;99%).</w:t>
      </w:r>
      <w:r w:rsidR="00E5133F">
        <w:rPr>
          <w:rFonts w:ascii="Times New Roman" w:hAnsi="Times New Roman" w:cs="Times New Roman"/>
          <w:sz w:val="24"/>
          <w:szCs w:val="24"/>
        </w:rPr>
        <w:t xml:space="preserve"> Veranderingen in de plasma-eiwitspiegels veranderen de vrije ge</w:t>
      </w:r>
      <w:r w:rsidR="00A76304">
        <w:rPr>
          <w:rFonts w:ascii="Times New Roman" w:hAnsi="Times New Roman" w:cs="Times New Roman"/>
          <w:sz w:val="24"/>
          <w:szCs w:val="24"/>
        </w:rPr>
        <w:t>neesmiddelfractie en daarmee de</w:t>
      </w:r>
      <w:r w:rsidR="00E5133F">
        <w:rPr>
          <w:rFonts w:ascii="Times New Roman" w:hAnsi="Times New Roman" w:cs="Times New Roman"/>
          <w:sz w:val="24"/>
          <w:szCs w:val="24"/>
        </w:rPr>
        <w:t xml:space="preserve"> farmacologische werkzaamheid (</w:t>
      </w:r>
      <w:proofErr w:type="spellStart"/>
      <w:r w:rsidR="00E5133F">
        <w:rPr>
          <w:rFonts w:ascii="Times New Roman" w:hAnsi="Times New Roman" w:cs="Times New Roman"/>
          <w:sz w:val="24"/>
          <w:szCs w:val="24"/>
        </w:rPr>
        <w:t>efficacy</w:t>
      </w:r>
      <w:proofErr w:type="spellEnd"/>
      <w:r w:rsidR="00E5133F">
        <w:rPr>
          <w:rFonts w:ascii="Times New Roman" w:hAnsi="Times New Roman" w:cs="Times New Roman"/>
          <w:sz w:val="24"/>
          <w:szCs w:val="24"/>
        </w:rPr>
        <w:t>)</w:t>
      </w:r>
      <w:r w:rsidR="00A10721">
        <w:rPr>
          <w:rFonts w:ascii="Times New Roman" w:hAnsi="Times New Roman" w:cs="Times New Roman"/>
          <w:sz w:val="24"/>
          <w:szCs w:val="24"/>
        </w:rPr>
        <w:t xml:space="preserve"> van het</w:t>
      </w:r>
      <w:r w:rsidR="00A76304">
        <w:rPr>
          <w:rFonts w:ascii="Times New Roman" w:hAnsi="Times New Roman" w:cs="Times New Roman"/>
          <w:sz w:val="24"/>
          <w:szCs w:val="24"/>
        </w:rPr>
        <w:t xml:space="preserve"> geneesmiddel</w:t>
      </w:r>
      <w:r w:rsidR="00A10721">
        <w:rPr>
          <w:rFonts w:ascii="Times New Roman" w:hAnsi="Times New Roman" w:cs="Times New Roman"/>
          <w:sz w:val="24"/>
          <w:szCs w:val="24"/>
        </w:rPr>
        <w:t xml:space="preserve"> in kwestie</w:t>
      </w:r>
      <w:r w:rsidR="00E5133F">
        <w:rPr>
          <w:rFonts w:ascii="Times New Roman" w:hAnsi="Times New Roman" w:cs="Times New Roman"/>
          <w:sz w:val="24"/>
          <w:szCs w:val="24"/>
        </w:rPr>
        <w:t>.</w:t>
      </w:r>
      <w:r w:rsidR="00A10721">
        <w:rPr>
          <w:rFonts w:ascii="Times New Roman" w:hAnsi="Times New Roman" w:cs="Times New Roman"/>
          <w:sz w:val="24"/>
          <w:szCs w:val="24"/>
        </w:rPr>
        <w:t xml:space="preserve"> Met name bij </w:t>
      </w:r>
      <w:r w:rsidR="00914BD8">
        <w:rPr>
          <w:rFonts w:ascii="Times New Roman" w:hAnsi="Times New Roman" w:cs="Times New Roman"/>
          <w:sz w:val="24"/>
          <w:szCs w:val="24"/>
        </w:rPr>
        <w:t xml:space="preserve">eiwitgebonden </w:t>
      </w:r>
      <w:r w:rsidR="00A10721">
        <w:rPr>
          <w:rFonts w:ascii="Times New Roman" w:hAnsi="Times New Roman" w:cs="Times New Roman"/>
          <w:sz w:val="24"/>
          <w:szCs w:val="24"/>
        </w:rPr>
        <w:t>medicatie met een smalle therapeutische breedte is dit problematisch.</w:t>
      </w:r>
      <w:r w:rsidR="00E5133F">
        <w:rPr>
          <w:rFonts w:ascii="Times New Roman" w:hAnsi="Times New Roman" w:cs="Times New Roman"/>
          <w:sz w:val="24"/>
          <w:szCs w:val="24"/>
        </w:rPr>
        <w:t xml:space="preserve"> </w:t>
      </w:r>
      <w:r w:rsidR="00CD5F0C">
        <w:rPr>
          <w:rFonts w:ascii="Times New Roman" w:hAnsi="Times New Roman" w:cs="Times New Roman"/>
          <w:sz w:val="24"/>
          <w:szCs w:val="24"/>
        </w:rPr>
        <w:t>Toch wordt</w:t>
      </w:r>
      <w:r w:rsidR="002D2D6B">
        <w:rPr>
          <w:rFonts w:ascii="Times New Roman" w:hAnsi="Times New Roman" w:cs="Times New Roman"/>
          <w:sz w:val="24"/>
          <w:szCs w:val="24"/>
        </w:rPr>
        <w:t xml:space="preserve"> door artsen</w:t>
      </w:r>
      <w:r w:rsidR="00CD5F0C">
        <w:rPr>
          <w:rFonts w:ascii="Times New Roman" w:hAnsi="Times New Roman" w:cs="Times New Roman"/>
          <w:sz w:val="24"/>
          <w:szCs w:val="24"/>
        </w:rPr>
        <w:t xml:space="preserve">, zeker in eerste instantie, vaak enkel de totale plasmaspiegel van een geneesmiddel bepaald, omdat het bepalen van een vrije geneesmiddelfractie significant bewerkelijker en duurder is. </w:t>
      </w:r>
      <w:r w:rsidR="00E5133F">
        <w:rPr>
          <w:rFonts w:ascii="Times New Roman" w:hAnsi="Times New Roman" w:cs="Times New Roman"/>
          <w:sz w:val="24"/>
          <w:szCs w:val="24"/>
        </w:rPr>
        <w:t>I</w:t>
      </w:r>
      <w:r w:rsidR="00B25571">
        <w:rPr>
          <w:rFonts w:ascii="Times New Roman" w:hAnsi="Times New Roman" w:cs="Times New Roman"/>
          <w:sz w:val="24"/>
          <w:szCs w:val="24"/>
        </w:rPr>
        <w:t xml:space="preserve">n talloze </w:t>
      </w:r>
      <w:r w:rsidR="002D2D6B">
        <w:rPr>
          <w:rFonts w:ascii="Times New Roman" w:hAnsi="Times New Roman" w:cs="Times New Roman"/>
          <w:sz w:val="24"/>
          <w:szCs w:val="24"/>
        </w:rPr>
        <w:t xml:space="preserve">–zowel </w:t>
      </w:r>
      <w:r w:rsidR="00E5133F">
        <w:rPr>
          <w:rFonts w:ascii="Times New Roman" w:hAnsi="Times New Roman" w:cs="Times New Roman"/>
          <w:sz w:val="24"/>
          <w:szCs w:val="24"/>
        </w:rPr>
        <w:t>fysiologisch</w:t>
      </w:r>
      <w:r w:rsidR="002D2D6B">
        <w:rPr>
          <w:rFonts w:ascii="Times New Roman" w:hAnsi="Times New Roman" w:cs="Times New Roman"/>
          <w:sz w:val="24"/>
          <w:szCs w:val="24"/>
        </w:rPr>
        <w:t>e als</w:t>
      </w:r>
      <w:r w:rsidR="00E5133F">
        <w:rPr>
          <w:rFonts w:ascii="Times New Roman" w:hAnsi="Times New Roman" w:cs="Times New Roman"/>
          <w:sz w:val="24"/>
          <w:szCs w:val="24"/>
        </w:rPr>
        <w:t xml:space="preserve"> pathologis</w:t>
      </w:r>
      <w:r w:rsidR="00B25571">
        <w:rPr>
          <w:rFonts w:ascii="Times New Roman" w:hAnsi="Times New Roman" w:cs="Times New Roman"/>
          <w:sz w:val="24"/>
          <w:szCs w:val="24"/>
        </w:rPr>
        <w:t>che</w:t>
      </w:r>
      <w:r w:rsidR="002D2D6B">
        <w:rPr>
          <w:rFonts w:ascii="Times New Roman" w:hAnsi="Times New Roman" w:cs="Times New Roman"/>
          <w:sz w:val="24"/>
          <w:szCs w:val="24"/>
        </w:rPr>
        <w:t>–</w:t>
      </w:r>
      <w:r w:rsidR="00E5133F">
        <w:rPr>
          <w:rFonts w:ascii="Times New Roman" w:hAnsi="Times New Roman" w:cs="Times New Roman"/>
          <w:sz w:val="24"/>
          <w:szCs w:val="24"/>
        </w:rPr>
        <w:t xml:space="preserve"> situaties kunnen forse schommelingen ontstaan in de concentraties van</w:t>
      </w:r>
      <w:r w:rsidR="00CD5F0C">
        <w:rPr>
          <w:rFonts w:ascii="Times New Roman" w:hAnsi="Times New Roman" w:cs="Times New Roman"/>
          <w:sz w:val="24"/>
          <w:szCs w:val="24"/>
        </w:rPr>
        <w:t xml:space="preserve"> geneesmiddelbindende</w:t>
      </w:r>
      <w:r w:rsidR="00E5133F">
        <w:rPr>
          <w:rFonts w:ascii="Times New Roman" w:hAnsi="Times New Roman" w:cs="Times New Roman"/>
          <w:sz w:val="24"/>
          <w:szCs w:val="24"/>
        </w:rPr>
        <w:t xml:space="preserve"> plasma-eiwitten in de circulatie, waarvan</w:t>
      </w:r>
      <w:r w:rsidR="002D2D6B">
        <w:rPr>
          <w:rFonts w:ascii="Times New Roman" w:hAnsi="Times New Roman" w:cs="Times New Roman"/>
          <w:sz w:val="24"/>
          <w:szCs w:val="24"/>
        </w:rPr>
        <w:t xml:space="preserve"> in de praktijk</w:t>
      </w:r>
      <w:r w:rsidR="00E5133F">
        <w:rPr>
          <w:rFonts w:ascii="Times New Roman" w:hAnsi="Times New Roman" w:cs="Times New Roman"/>
          <w:sz w:val="24"/>
          <w:szCs w:val="24"/>
        </w:rPr>
        <w:t xml:space="preserve"> albumine veruit het belangrijkste voorbeeld is</w:t>
      </w:r>
      <w:r w:rsidR="00B25571">
        <w:rPr>
          <w:rFonts w:ascii="Times New Roman" w:hAnsi="Times New Roman" w:cs="Times New Roman"/>
          <w:sz w:val="24"/>
          <w:szCs w:val="24"/>
        </w:rPr>
        <w:t xml:space="preserve"> (om deze reden worden verderop plasma-eiwitten en plasma-albumine gemakshalve als synoniem gebruikt, hetgeen</w:t>
      </w:r>
      <w:r w:rsidR="002D2D6B">
        <w:rPr>
          <w:rFonts w:ascii="Times New Roman" w:hAnsi="Times New Roman" w:cs="Times New Roman"/>
          <w:sz w:val="24"/>
          <w:szCs w:val="24"/>
        </w:rPr>
        <w:t xml:space="preserve"> overigens</w:t>
      </w:r>
      <w:r w:rsidR="00B25571">
        <w:rPr>
          <w:rFonts w:ascii="Times New Roman" w:hAnsi="Times New Roman" w:cs="Times New Roman"/>
          <w:sz w:val="24"/>
          <w:szCs w:val="24"/>
        </w:rPr>
        <w:t xml:space="preserve"> geen invloed heeft op de modelontwikkeling)</w:t>
      </w:r>
      <w:r w:rsidR="00E5133F">
        <w:rPr>
          <w:rFonts w:ascii="Times New Roman" w:hAnsi="Times New Roman" w:cs="Times New Roman"/>
          <w:sz w:val="24"/>
          <w:szCs w:val="24"/>
        </w:rPr>
        <w:t xml:space="preserve">. </w:t>
      </w:r>
      <w:r w:rsidR="00B25571">
        <w:rPr>
          <w:rFonts w:ascii="Times New Roman" w:hAnsi="Times New Roman" w:cs="Times New Roman"/>
          <w:sz w:val="24"/>
          <w:szCs w:val="24"/>
        </w:rPr>
        <w:t xml:space="preserve">Bekende </w:t>
      </w:r>
      <w:r w:rsidR="00E5133F">
        <w:rPr>
          <w:rFonts w:ascii="Times New Roman" w:hAnsi="Times New Roman" w:cs="Times New Roman"/>
          <w:sz w:val="24"/>
          <w:szCs w:val="24"/>
        </w:rPr>
        <w:t>voorbeelden van een verlaagde plasma-albuminespiegel zij</w:t>
      </w:r>
      <w:r w:rsidR="00CD5F0C">
        <w:rPr>
          <w:rFonts w:ascii="Times New Roman" w:hAnsi="Times New Roman" w:cs="Times New Roman"/>
          <w:sz w:val="24"/>
          <w:szCs w:val="24"/>
        </w:rPr>
        <w:t xml:space="preserve">n cirrose, nefrotisch syndroom en katabole toestanden, zoals een negatieve </w:t>
      </w:r>
      <w:proofErr w:type="spellStart"/>
      <w:r w:rsidR="00CD5F0C">
        <w:rPr>
          <w:rFonts w:ascii="Times New Roman" w:hAnsi="Times New Roman" w:cs="Times New Roman"/>
          <w:sz w:val="24"/>
          <w:szCs w:val="24"/>
        </w:rPr>
        <w:t>acutefasereactie</w:t>
      </w:r>
      <w:proofErr w:type="spellEnd"/>
      <w:r w:rsidR="00CD5F0C">
        <w:rPr>
          <w:rFonts w:ascii="Times New Roman" w:hAnsi="Times New Roman" w:cs="Times New Roman"/>
          <w:sz w:val="24"/>
          <w:szCs w:val="24"/>
        </w:rPr>
        <w:t xml:space="preserve"> tijdens ernstige</w:t>
      </w:r>
      <w:r w:rsidR="002D2D6B">
        <w:rPr>
          <w:rFonts w:ascii="Times New Roman" w:hAnsi="Times New Roman" w:cs="Times New Roman"/>
          <w:sz w:val="24"/>
          <w:szCs w:val="24"/>
        </w:rPr>
        <w:t xml:space="preserve"> (inflammatoire)</w:t>
      </w:r>
      <w:r w:rsidR="00CD5F0C">
        <w:rPr>
          <w:rFonts w:ascii="Times New Roman" w:hAnsi="Times New Roman" w:cs="Times New Roman"/>
          <w:sz w:val="24"/>
          <w:szCs w:val="24"/>
        </w:rPr>
        <w:t xml:space="preserve"> ziekte of het gebruik van </w:t>
      </w:r>
      <w:proofErr w:type="spellStart"/>
      <w:r w:rsidR="00CD5F0C">
        <w:rPr>
          <w:rFonts w:ascii="Times New Roman" w:hAnsi="Times New Roman" w:cs="Times New Roman"/>
          <w:sz w:val="24"/>
          <w:szCs w:val="24"/>
        </w:rPr>
        <w:t>glucocorticosteroïden</w:t>
      </w:r>
      <w:proofErr w:type="spellEnd"/>
      <w:r w:rsidR="00CD5F0C">
        <w:rPr>
          <w:rFonts w:ascii="Times New Roman" w:hAnsi="Times New Roman" w:cs="Times New Roman"/>
          <w:sz w:val="24"/>
          <w:szCs w:val="24"/>
        </w:rPr>
        <w:t>. Een verhoogde plasma-albuminespiegel kan voorkomen bij onder andere hemoconcentratie tijdens dehydratie</w:t>
      </w:r>
      <w:r w:rsidR="00A76304">
        <w:rPr>
          <w:rFonts w:ascii="Times New Roman" w:hAnsi="Times New Roman" w:cs="Times New Roman"/>
          <w:sz w:val="24"/>
          <w:szCs w:val="24"/>
        </w:rPr>
        <w:t xml:space="preserve"> of shock</w:t>
      </w:r>
      <w:r w:rsidR="00CD5F0C">
        <w:rPr>
          <w:rFonts w:ascii="Times New Roman" w:hAnsi="Times New Roman" w:cs="Times New Roman"/>
          <w:sz w:val="24"/>
          <w:szCs w:val="24"/>
        </w:rPr>
        <w:t xml:space="preserve">. </w:t>
      </w:r>
      <w:r>
        <w:rPr>
          <w:rFonts w:ascii="Times New Roman" w:hAnsi="Times New Roman" w:cs="Times New Roman"/>
          <w:sz w:val="24"/>
          <w:szCs w:val="24"/>
        </w:rPr>
        <w:t xml:space="preserve">Hoewel veel </w:t>
      </w:r>
      <w:proofErr w:type="spellStart"/>
      <w:r>
        <w:rPr>
          <w:rFonts w:ascii="Times New Roman" w:hAnsi="Times New Roman" w:cs="Times New Roman"/>
          <w:sz w:val="24"/>
          <w:szCs w:val="24"/>
        </w:rPr>
        <w:t>clinci</w:t>
      </w:r>
      <w:proofErr w:type="spellEnd"/>
      <w:r w:rsidR="006C1D06">
        <w:rPr>
          <w:rFonts w:ascii="Times New Roman" w:hAnsi="Times New Roman" w:cs="Times New Roman"/>
          <w:sz w:val="24"/>
          <w:szCs w:val="24"/>
        </w:rPr>
        <w:t xml:space="preserve"> weliswaar</w:t>
      </w:r>
      <w:r>
        <w:rPr>
          <w:rFonts w:ascii="Times New Roman" w:hAnsi="Times New Roman" w:cs="Times New Roman"/>
          <w:sz w:val="24"/>
          <w:szCs w:val="24"/>
        </w:rPr>
        <w:t xml:space="preserve"> ee</w:t>
      </w:r>
      <w:r w:rsidR="006C1D06">
        <w:rPr>
          <w:rFonts w:ascii="Times New Roman" w:hAnsi="Times New Roman" w:cs="Times New Roman"/>
          <w:sz w:val="24"/>
          <w:szCs w:val="24"/>
        </w:rPr>
        <w:t>n intuïtief beeld hebben bij de</w:t>
      </w:r>
      <w:r w:rsidR="006C25AA">
        <w:rPr>
          <w:rFonts w:ascii="Times New Roman" w:hAnsi="Times New Roman" w:cs="Times New Roman"/>
          <w:sz w:val="24"/>
          <w:szCs w:val="24"/>
        </w:rPr>
        <w:t xml:space="preserve"> </w:t>
      </w:r>
      <w:proofErr w:type="spellStart"/>
      <w:r w:rsidR="006C25AA">
        <w:rPr>
          <w:rFonts w:ascii="Times New Roman" w:hAnsi="Times New Roman" w:cs="Times New Roman"/>
          <w:sz w:val="24"/>
          <w:szCs w:val="24"/>
        </w:rPr>
        <w:t>farmacokinetische</w:t>
      </w:r>
      <w:proofErr w:type="spellEnd"/>
      <w:r w:rsidR="006C25AA">
        <w:rPr>
          <w:rFonts w:ascii="Times New Roman" w:hAnsi="Times New Roman" w:cs="Times New Roman"/>
          <w:sz w:val="24"/>
          <w:szCs w:val="24"/>
        </w:rPr>
        <w:t xml:space="preserve"> effecten</w:t>
      </w:r>
      <w:r>
        <w:rPr>
          <w:rFonts w:ascii="Times New Roman" w:hAnsi="Times New Roman" w:cs="Times New Roman"/>
          <w:sz w:val="24"/>
          <w:szCs w:val="24"/>
        </w:rPr>
        <w:t xml:space="preserve"> van veranderingen in </w:t>
      </w:r>
      <w:r w:rsidR="006C25AA">
        <w:rPr>
          <w:rFonts w:ascii="Times New Roman" w:hAnsi="Times New Roman" w:cs="Times New Roman"/>
          <w:sz w:val="24"/>
          <w:szCs w:val="24"/>
        </w:rPr>
        <w:t>plasma-</w:t>
      </w:r>
      <w:r>
        <w:rPr>
          <w:rFonts w:ascii="Times New Roman" w:hAnsi="Times New Roman" w:cs="Times New Roman"/>
          <w:sz w:val="24"/>
          <w:szCs w:val="24"/>
        </w:rPr>
        <w:t xml:space="preserve">eiwitconcentraties, is </w:t>
      </w:r>
      <w:r w:rsidR="006C25AA">
        <w:rPr>
          <w:rFonts w:ascii="Times New Roman" w:hAnsi="Times New Roman" w:cs="Times New Roman"/>
          <w:sz w:val="24"/>
          <w:szCs w:val="24"/>
        </w:rPr>
        <w:t>hi</w:t>
      </w:r>
      <w:r>
        <w:rPr>
          <w:rFonts w:ascii="Times New Roman" w:hAnsi="Times New Roman" w:cs="Times New Roman"/>
          <w:sz w:val="24"/>
          <w:szCs w:val="24"/>
        </w:rPr>
        <w:t>er</w:t>
      </w:r>
      <w:r w:rsidR="006C25AA">
        <w:rPr>
          <w:rFonts w:ascii="Times New Roman" w:hAnsi="Times New Roman" w:cs="Times New Roman"/>
          <w:sz w:val="24"/>
          <w:szCs w:val="24"/>
        </w:rPr>
        <w:t>voor</w:t>
      </w:r>
      <w:r>
        <w:rPr>
          <w:rFonts w:ascii="Times New Roman" w:hAnsi="Times New Roman" w:cs="Times New Roman"/>
          <w:sz w:val="24"/>
          <w:szCs w:val="24"/>
        </w:rPr>
        <w:t xml:space="preserve"> bij mijn beste weten </w:t>
      </w:r>
      <w:r w:rsidR="006C25AA">
        <w:rPr>
          <w:rFonts w:ascii="Times New Roman" w:hAnsi="Times New Roman" w:cs="Times New Roman"/>
          <w:sz w:val="24"/>
          <w:szCs w:val="24"/>
        </w:rPr>
        <w:t>nooit een formele stelregel ontwikkeld. Het is spijtig dat</w:t>
      </w:r>
      <w:r w:rsidR="00E5133F">
        <w:rPr>
          <w:rFonts w:ascii="Times New Roman" w:hAnsi="Times New Roman" w:cs="Times New Roman"/>
          <w:sz w:val="24"/>
          <w:szCs w:val="24"/>
        </w:rPr>
        <w:t xml:space="preserve"> de veranderde</w:t>
      </w:r>
      <w:r w:rsidR="006C25AA">
        <w:rPr>
          <w:rFonts w:ascii="Times New Roman" w:hAnsi="Times New Roman" w:cs="Times New Roman"/>
          <w:sz w:val="24"/>
          <w:szCs w:val="24"/>
        </w:rPr>
        <w:t xml:space="preserve"> eiwitbinding van </w:t>
      </w:r>
      <w:r w:rsidR="006C25AA">
        <w:rPr>
          <w:rFonts w:ascii="Times New Roman" w:hAnsi="Times New Roman" w:cs="Times New Roman"/>
          <w:sz w:val="24"/>
          <w:szCs w:val="24"/>
        </w:rPr>
        <w:lastRenderedPageBreak/>
        <w:t xml:space="preserve">geneesmiddelen een ondergeschoven kindje is </w:t>
      </w:r>
      <w:r w:rsidR="00E5133F">
        <w:rPr>
          <w:rFonts w:ascii="Times New Roman" w:hAnsi="Times New Roman" w:cs="Times New Roman"/>
          <w:sz w:val="24"/>
          <w:szCs w:val="24"/>
        </w:rPr>
        <w:t>b</w:t>
      </w:r>
      <w:r w:rsidR="006C25AA">
        <w:rPr>
          <w:rFonts w:ascii="Times New Roman" w:hAnsi="Times New Roman" w:cs="Times New Roman"/>
          <w:sz w:val="24"/>
          <w:szCs w:val="24"/>
        </w:rPr>
        <w:t>in</w:t>
      </w:r>
      <w:r w:rsidR="00E5133F">
        <w:rPr>
          <w:rFonts w:ascii="Times New Roman" w:hAnsi="Times New Roman" w:cs="Times New Roman"/>
          <w:sz w:val="24"/>
          <w:szCs w:val="24"/>
        </w:rPr>
        <w:t>nen</w:t>
      </w:r>
      <w:r w:rsidR="006C25AA">
        <w:rPr>
          <w:rFonts w:ascii="Times New Roman" w:hAnsi="Times New Roman" w:cs="Times New Roman"/>
          <w:sz w:val="24"/>
          <w:szCs w:val="24"/>
        </w:rPr>
        <w:t xml:space="preserve"> de farmacokinetiek, aangezien de klinische consequenties hiervan zeer significant kunnen zijn</w:t>
      </w:r>
      <w:r w:rsidR="00E5133F">
        <w:rPr>
          <w:rFonts w:ascii="Times New Roman" w:hAnsi="Times New Roman" w:cs="Times New Roman"/>
          <w:sz w:val="24"/>
          <w:szCs w:val="24"/>
        </w:rPr>
        <w:t>.</w:t>
      </w:r>
      <w:r>
        <w:rPr>
          <w:rFonts w:ascii="Times New Roman" w:hAnsi="Times New Roman" w:cs="Times New Roman"/>
          <w:sz w:val="24"/>
          <w:szCs w:val="24"/>
        </w:rPr>
        <w:t xml:space="preserve"> Hieronder wordt daarom een eenvoudige en klinisch </w:t>
      </w:r>
      <w:proofErr w:type="spellStart"/>
      <w:r>
        <w:rPr>
          <w:rFonts w:ascii="Times New Roman" w:hAnsi="Times New Roman" w:cs="Times New Roman"/>
          <w:sz w:val="24"/>
          <w:szCs w:val="24"/>
        </w:rPr>
        <w:t>toespasbare</w:t>
      </w:r>
      <w:proofErr w:type="spellEnd"/>
      <w:r>
        <w:rPr>
          <w:rFonts w:ascii="Times New Roman" w:hAnsi="Times New Roman" w:cs="Times New Roman"/>
          <w:sz w:val="24"/>
          <w:szCs w:val="24"/>
        </w:rPr>
        <w:t xml:space="preserve"> correctiefactor voor de relatieve </w:t>
      </w:r>
      <w:proofErr w:type="spellStart"/>
      <w:r>
        <w:rPr>
          <w:rFonts w:ascii="Times New Roman" w:hAnsi="Times New Roman" w:cs="Times New Roman"/>
          <w:sz w:val="24"/>
          <w:szCs w:val="24"/>
        </w:rPr>
        <w:t>efficacy</w:t>
      </w:r>
      <w:proofErr w:type="spellEnd"/>
      <w:r>
        <w:rPr>
          <w:rFonts w:ascii="Times New Roman" w:hAnsi="Times New Roman" w:cs="Times New Roman"/>
          <w:sz w:val="24"/>
          <w:szCs w:val="24"/>
        </w:rPr>
        <w:t xml:space="preserve"> van sterk eiwitgebonden </w:t>
      </w:r>
      <w:r w:rsidR="00A241A2">
        <w:rPr>
          <w:rFonts w:ascii="Times New Roman" w:hAnsi="Times New Roman" w:cs="Times New Roman"/>
          <w:sz w:val="24"/>
          <w:szCs w:val="24"/>
        </w:rPr>
        <w:t xml:space="preserve">(&gt;90%) </w:t>
      </w:r>
      <w:r>
        <w:rPr>
          <w:rFonts w:ascii="Times New Roman" w:hAnsi="Times New Roman" w:cs="Times New Roman"/>
          <w:sz w:val="24"/>
          <w:szCs w:val="24"/>
        </w:rPr>
        <w:t>geneesmiddelen afgeleid</w:t>
      </w:r>
      <w:r w:rsidR="00E5133F">
        <w:rPr>
          <w:rFonts w:ascii="Times New Roman" w:hAnsi="Times New Roman" w:cs="Times New Roman"/>
          <w:sz w:val="24"/>
          <w:szCs w:val="24"/>
        </w:rPr>
        <w:t>.</w:t>
      </w:r>
      <w:r>
        <w:rPr>
          <w:rFonts w:ascii="Times New Roman" w:hAnsi="Times New Roman" w:cs="Times New Roman"/>
          <w:sz w:val="24"/>
          <w:szCs w:val="24"/>
        </w:rPr>
        <w:t xml:space="preserve"> </w:t>
      </w:r>
      <w:r w:rsidR="00FB257B">
        <w:rPr>
          <w:rFonts w:ascii="Times New Roman" w:hAnsi="Times New Roman" w:cs="Times New Roman"/>
          <w:sz w:val="24"/>
          <w:szCs w:val="24"/>
        </w:rPr>
        <w:t>De on</w:t>
      </w:r>
      <w:r w:rsidR="008A2180">
        <w:rPr>
          <w:rFonts w:ascii="Times New Roman" w:hAnsi="Times New Roman" w:cs="Times New Roman"/>
          <w:sz w:val="24"/>
          <w:szCs w:val="24"/>
        </w:rPr>
        <w:t>derstaande correctiefactor is</w:t>
      </w:r>
      <w:r w:rsidR="00FB257B">
        <w:rPr>
          <w:rFonts w:ascii="Times New Roman" w:hAnsi="Times New Roman" w:cs="Times New Roman"/>
          <w:sz w:val="24"/>
          <w:szCs w:val="24"/>
        </w:rPr>
        <w:t xml:space="preserve"> een</w:t>
      </w:r>
      <w:r w:rsidR="008A2180">
        <w:rPr>
          <w:rFonts w:ascii="Times New Roman" w:hAnsi="Times New Roman" w:cs="Times New Roman"/>
          <w:sz w:val="24"/>
          <w:szCs w:val="24"/>
        </w:rPr>
        <w:t xml:space="preserve"> relatief</w:t>
      </w:r>
      <w:r w:rsidR="00FB257B">
        <w:rPr>
          <w:rFonts w:ascii="Times New Roman" w:hAnsi="Times New Roman" w:cs="Times New Roman"/>
          <w:sz w:val="24"/>
          <w:szCs w:val="24"/>
        </w:rPr>
        <w:t xml:space="preserve"> eenvoudige</w:t>
      </w:r>
      <w:r w:rsidR="008A2180">
        <w:rPr>
          <w:rFonts w:ascii="Times New Roman" w:hAnsi="Times New Roman" w:cs="Times New Roman"/>
          <w:sz w:val="24"/>
          <w:szCs w:val="24"/>
        </w:rPr>
        <w:t xml:space="preserve"> en snelle</w:t>
      </w:r>
      <w:r w:rsidR="00FB257B">
        <w:rPr>
          <w:rFonts w:ascii="Times New Roman" w:hAnsi="Times New Roman" w:cs="Times New Roman"/>
          <w:sz w:val="24"/>
          <w:szCs w:val="24"/>
        </w:rPr>
        <w:t xml:space="preserve"> manier om</w:t>
      </w:r>
      <w:r w:rsidR="007F2601">
        <w:rPr>
          <w:rFonts w:ascii="Times New Roman" w:hAnsi="Times New Roman" w:cs="Times New Roman"/>
          <w:sz w:val="24"/>
          <w:szCs w:val="24"/>
        </w:rPr>
        <w:t xml:space="preserve"> de verwachte </w:t>
      </w:r>
      <w:proofErr w:type="spellStart"/>
      <w:r w:rsidR="007F2601">
        <w:rPr>
          <w:rFonts w:ascii="Times New Roman" w:hAnsi="Times New Roman" w:cs="Times New Roman"/>
          <w:sz w:val="24"/>
          <w:szCs w:val="24"/>
        </w:rPr>
        <w:t>e</w:t>
      </w:r>
      <w:r w:rsidR="00CD5F0C">
        <w:rPr>
          <w:rFonts w:ascii="Times New Roman" w:hAnsi="Times New Roman" w:cs="Times New Roman"/>
          <w:sz w:val="24"/>
          <w:szCs w:val="24"/>
        </w:rPr>
        <w:t>fficacy</w:t>
      </w:r>
      <w:proofErr w:type="spellEnd"/>
      <w:r w:rsidR="00CD5F0C">
        <w:rPr>
          <w:rFonts w:ascii="Times New Roman" w:hAnsi="Times New Roman" w:cs="Times New Roman"/>
          <w:sz w:val="24"/>
          <w:szCs w:val="24"/>
        </w:rPr>
        <w:t xml:space="preserve"> van een geneesmiddel</w:t>
      </w:r>
      <w:r w:rsidR="00FB257B">
        <w:rPr>
          <w:rFonts w:ascii="Times New Roman" w:hAnsi="Times New Roman" w:cs="Times New Roman"/>
          <w:sz w:val="24"/>
          <w:szCs w:val="24"/>
        </w:rPr>
        <w:t xml:space="preserve"> te corrigeren voor afwijkende </w:t>
      </w:r>
      <w:r w:rsidR="006C25AA">
        <w:rPr>
          <w:rFonts w:ascii="Times New Roman" w:hAnsi="Times New Roman" w:cs="Times New Roman"/>
          <w:sz w:val="24"/>
          <w:szCs w:val="24"/>
        </w:rPr>
        <w:t>plasma-</w:t>
      </w:r>
      <w:r w:rsidR="00CD5F0C">
        <w:rPr>
          <w:rFonts w:ascii="Times New Roman" w:hAnsi="Times New Roman" w:cs="Times New Roman"/>
          <w:sz w:val="24"/>
          <w:szCs w:val="24"/>
        </w:rPr>
        <w:t>eiwit</w:t>
      </w:r>
      <w:r w:rsidR="00FB257B">
        <w:rPr>
          <w:rFonts w:ascii="Times New Roman" w:hAnsi="Times New Roman" w:cs="Times New Roman"/>
          <w:sz w:val="24"/>
          <w:szCs w:val="24"/>
        </w:rPr>
        <w:t>spiegels</w:t>
      </w:r>
      <w:r w:rsidR="00CD5F0C">
        <w:rPr>
          <w:rFonts w:ascii="Times New Roman" w:hAnsi="Times New Roman" w:cs="Times New Roman"/>
          <w:sz w:val="24"/>
          <w:szCs w:val="24"/>
        </w:rPr>
        <w:t>.</w:t>
      </w:r>
      <w:r w:rsidR="007F2601">
        <w:rPr>
          <w:rFonts w:ascii="Times New Roman" w:hAnsi="Times New Roman" w:cs="Times New Roman"/>
          <w:sz w:val="24"/>
          <w:szCs w:val="24"/>
        </w:rPr>
        <w:t xml:space="preserve"> Het doel is hierbij niet zozeer om exacte berekeningen uit te voeren, maar </w:t>
      </w:r>
      <w:r w:rsidR="00A2280D">
        <w:rPr>
          <w:rFonts w:ascii="Times New Roman" w:hAnsi="Times New Roman" w:cs="Times New Roman"/>
          <w:sz w:val="24"/>
          <w:szCs w:val="24"/>
        </w:rPr>
        <w:t xml:space="preserve">vooral </w:t>
      </w:r>
      <w:r w:rsidR="007F2601">
        <w:rPr>
          <w:rFonts w:ascii="Times New Roman" w:hAnsi="Times New Roman" w:cs="Times New Roman"/>
          <w:sz w:val="24"/>
          <w:szCs w:val="24"/>
        </w:rPr>
        <w:t xml:space="preserve">om een </w:t>
      </w:r>
      <w:r w:rsidR="00A2280D">
        <w:rPr>
          <w:rFonts w:ascii="Times New Roman" w:hAnsi="Times New Roman" w:cs="Times New Roman"/>
          <w:sz w:val="24"/>
          <w:szCs w:val="24"/>
        </w:rPr>
        <w:t>beredeneerde</w:t>
      </w:r>
      <w:r w:rsidR="007F2601">
        <w:rPr>
          <w:rFonts w:ascii="Times New Roman" w:hAnsi="Times New Roman" w:cs="Times New Roman"/>
          <w:sz w:val="24"/>
          <w:szCs w:val="24"/>
        </w:rPr>
        <w:t xml:space="preserve"> indruk te krijgen van de effecten van veranderende plasma-eiwitconcentraties </w:t>
      </w:r>
      <w:r w:rsidR="00A2280D">
        <w:rPr>
          <w:rFonts w:ascii="Times New Roman" w:hAnsi="Times New Roman" w:cs="Times New Roman"/>
          <w:sz w:val="24"/>
          <w:szCs w:val="24"/>
        </w:rPr>
        <w:t>op medicatie-</w:t>
      </w:r>
      <w:proofErr w:type="spellStart"/>
      <w:r w:rsidR="00A2280D">
        <w:rPr>
          <w:rFonts w:ascii="Times New Roman" w:hAnsi="Times New Roman" w:cs="Times New Roman"/>
          <w:sz w:val="24"/>
          <w:szCs w:val="24"/>
        </w:rPr>
        <w:t>efficacy</w:t>
      </w:r>
      <w:proofErr w:type="spellEnd"/>
      <w:r w:rsidR="00A2280D">
        <w:rPr>
          <w:rFonts w:ascii="Times New Roman" w:hAnsi="Times New Roman" w:cs="Times New Roman"/>
          <w:sz w:val="24"/>
          <w:szCs w:val="24"/>
        </w:rPr>
        <w:t>.</w:t>
      </w:r>
    </w:p>
    <w:p w:rsidR="00A76304" w:rsidRDefault="00A76304" w:rsidP="00AC1354">
      <w:pPr>
        <w:spacing w:line="480" w:lineRule="auto"/>
        <w:jc w:val="both"/>
        <w:rPr>
          <w:rFonts w:ascii="Times New Roman" w:hAnsi="Times New Roman" w:cs="Times New Roman"/>
          <w:b/>
          <w:sz w:val="24"/>
          <w:szCs w:val="24"/>
          <w:u w:val="single"/>
        </w:rPr>
      </w:pPr>
    </w:p>
    <w:p w:rsidR="009A3201" w:rsidRPr="001165F4" w:rsidRDefault="006D6E6E" w:rsidP="001165F4">
      <w:pPr>
        <w:pStyle w:val="Lijstalinea"/>
        <w:numPr>
          <w:ilvl w:val="0"/>
          <w:numId w:val="1"/>
        </w:numPr>
        <w:spacing w:line="480" w:lineRule="auto"/>
        <w:jc w:val="both"/>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Farmacokinetische</w:t>
      </w:r>
      <w:proofErr w:type="spellEnd"/>
      <w:r>
        <w:rPr>
          <w:rFonts w:ascii="Times New Roman" w:hAnsi="Times New Roman" w:cs="Times New Roman"/>
          <w:b/>
          <w:sz w:val="24"/>
          <w:szCs w:val="24"/>
          <w:u w:val="single"/>
        </w:rPr>
        <w:t xml:space="preserve"> m</w:t>
      </w:r>
      <w:r w:rsidR="00505EEA" w:rsidRPr="001165F4">
        <w:rPr>
          <w:rFonts w:ascii="Times New Roman" w:hAnsi="Times New Roman" w:cs="Times New Roman"/>
          <w:b/>
          <w:sz w:val="24"/>
          <w:szCs w:val="24"/>
          <w:u w:val="single"/>
        </w:rPr>
        <w:t>odela</w:t>
      </w:r>
      <w:r w:rsidR="009A3201" w:rsidRPr="001165F4">
        <w:rPr>
          <w:rFonts w:ascii="Times New Roman" w:hAnsi="Times New Roman" w:cs="Times New Roman"/>
          <w:b/>
          <w:sz w:val="24"/>
          <w:szCs w:val="24"/>
          <w:u w:val="single"/>
        </w:rPr>
        <w:t>fleiding</w:t>
      </w:r>
    </w:p>
    <w:p w:rsidR="001626EF" w:rsidRPr="001626EF" w:rsidRDefault="001626EF" w:rsidP="00AC135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de meest gebruikte, eenvoudige uitdrukking is er </w:t>
      </w:r>
      <w:r w:rsidR="009D617E">
        <w:rPr>
          <w:rFonts w:ascii="Times New Roman" w:hAnsi="Times New Roman" w:cs="Times New Roman"/>
          <w:sz w:val="24"/>
          <w:szCs w:val="24"/>
        </w:rPr>
        <w:t xml:space="preserve">in de circulatie voor eiwitgebonden geneesmiddelen </w:t>
      </w:r>
      <w:r>
        <w:rPr>
          <w:rFonts w:ascii="Times New Roman" w:hAnsi="Times New Roman" w:cs="Times New Roman"/>
          <w:sz w:val="24"/>
          <w:szCs w:val="24"/>
        </w:rPr>
        <w:t xml:space="preserve">sprake van een evenwichtsreactie waarbij een geneesmiddel-eiwitcomplex </w:t>
      </w:r>
      <m:oMath>
        <m:r>
          <w:rPr>
            <w:rFonts w:ascii="Cambria Math" w:hAnsi="Cambria Math" w:cs="Times New Roman"/>
            <w:sz w:val="24"/>
            <w:szCs w:val="24"/>
          </w:rPr>
          <m:t>DP</m:t>
        </m:r>
      </m:oMath>
      <w:r>
        <w:rPr>
          <w:rFonts w:ascii="Times New Roman" w:eastAsiaTheme="minorEastAsia" w:hAnsi="Times New Roman" w:cs="Times New Roman"/>
          <w:sz w:val="24"/>
          <w:szCs w:val="24"/>
        </w:rPr>
        <w:t xml:space="preserve"> dissocieert tot ongebonden of vrij geneesmiddel </w:t>
      </w:r>
      <m:oMath>
        <m:r>
          <w:rPr>
            <w:rFonts w:ascii="Cambria Math" w:hAnsi="Cambria Math" w:cs="Times New Roman"/>
            <w:sz w:val="24"/>
            <w:szCs w:val="24"/>
          </w:rPr>
          <m:t>D</m:t>
        </m:r>
      </m:oMath>
      <w:r>
        <w:rPr>
          <w:rFonts w:ascii="Times New Roman" w:eastAsiaTheme="minorEastAsia" w:hAnsi="Times New Roman" w:cs="Times New Roman"/>
          <w:sz w:val="24"/>
          <w:szCs w:val="24"/>
        </w:rPr>
        <w:t xml:space="preserve"> en eiwit </w:t>
      </w:r>
      <m:oMath>
        <m:r>
          <w:rPr>
            <w:rFonts w:ascii="Cambria Math" w:hAnsi="Cambria Math" w:cs="Times New Roman"/>
            <w:sz w:val="24"/>
            <w:szCs w:val="24"/>
          </w:rPr>
          <m:t>P</m:t>
        </m:r>
      </m:oMath>
      <w:r w:rsidR="00337D31">
        <w:rPr>
          <w:rFonts w:ascii="Times New Roman" w:eastAsiaTheme="minorEastAsia" w:hAnsi="Times New Roman" w:cs="Times New Roman"/>
          <w:sz w:val="24"/>
          <w:szCs w:val="24"/>
        </w:rPr>
        <w:t xml:space="preserve"> zonder gebonden geneesmiddel</w:t>
      </w:r>
      <w:r>
        <w:rPr>
          <w:rFonts w:ascii="Times New Roman" w:eastAsiaTheme="minorEastAsia" w:hAnsi="Times New Roman" w:cs="Times New Roman"/>
          <w:sz w:val="24"/>
          <w:szCs w:val="24"/>
        </w:rPr>
        <w:t>:</w:t>
      </w:r>
    </w:p>
    <w:p w:rsidR="007447B7" w:rsidRPr="001626EF" w:rsidRDefault="00AC1354" w:rsidP="00AC1354">
      <w:pPr>
        <w:spacing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DP⇄D+P</m:t>
          </m:r>
        </m:oMath>
      </m:oMathPara>
    </w:p>
    <w:p w:rsidR="001626EF" w:rsidRDefault="001626EF" w:rsidP="00AC1354">
      <w:p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De dissociatieconstante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d</m:t>
            </m:r>
          </m:sub>
        </m:sSub>
      </m:oMath>
      <w:r>
        <w:rPr>
          <w:rFonts w:ascii="Times New Roman" w:eastAsiaTheme="minorEastAsia" w:hAnsi="Times New Roman" w:cs="Times New Roman"/>
          <w:sz w:val="24"/>
          <w:szCs w:val="24"/>
        </w:rPr>
        <w:t xml:space="preserve"> wordt als volgt gedefinieerd:</w:t>
      </w:r>
    </w:p>
    <w:p w:rsidR="00FB257B" w:rsidRPr="006D6E6E" w:rsidRDefault="00E6694B" w:rsidP="00AC1354">
      <w:pPr>
        <w:spacing w:line="480" w:lineRule="auto"/>
        <w:jc w:val="both"/>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r>
                    <w:rPr>
                      <w:rFonts w:ascii="Cambria Math" w:hAnsi="Cambria Math" w:cs="Times New Roman"/>
                      <w:sz w:val="24"/>
                      <w:szCs w:val="24"/>
                    </w:rPr>
                    <m:t>D</m:t>
                  </m:r>
                </m:e>
              </m:d>
              <m:d>
                <m:dPr>
                  <m:begChr m:val="["/>
                  <m:endChr m:val="]"/>
                  <m:ctrlPr>
                    <w:rPr>
                      <w:rFonts w:ascii="Cambria Math" w:hAnsi="Cambria Math" w:cs="Times New Roman"/>
                      <w:i/>
                      <w:sz w:val="24"/>
                      <w:szCs w:val="24"/>
                    </w:rPr>
                  </m:ctrlPr>
                </m:dPr>
                <m:e>
                  <m:r>
                    <w:rPr>
                      <w:rFonts w:ascii="Cambria Math" w:hAnsi="Cambria Math" w:cs="Times New Roman"/>
                      <w:sz w:val="24"/>
                      <w:szCs w:val="24"/>
                    </w:rPr>
                    <m:t>P</m:t>
                  </m:r>
                </m:e>
              </m:d>
            </m:num>
            <m:den>
              <m:d>
                <m:dPr>
                  <m:begChr m:val="["/>
                  <m:endChr m:val="]"/>
                  <m:ctrlPr>
                    <w:rPr>
                      <w:rFonts w:ascii="Cambria Math" w:hAnsi="Cambria Math" w:cs="Times New Roman"/>
                      <w:i/>
                      <w:sz w:val="24"/>
                      <w:szCs w:val="24"/>
                    </w:rPr>
                  </m:ctrlPr>
                </m:dPr>
                <m:e>
                  <m:r>
                    <w:rPr>
                      <w:rFonts w:ascii="Cambria Math" w:hAnsi="Cambria Math" w:cs="Times New Roman"/>
                      <w:sz w:val="24"/>
                      <w:szCs w:val="24"/>
                    </w:rPr>
                    <m:t>DP</m:t>
                  </m:r>
                </m:e>
              </m:d>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d</m:t>
              </m:r>
            </m:sub>
          </m:sSub>
        </m:oMath>
      </m:oMathPara>
    </w:p>
    <w:p w:rsidR="006D6E6E" w:rsidRDefault="006D6E6E" w:rsidP="00AC1354">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Ofwel:</w:t>
      </w:r>
    </w:p>
    <w:p w:rsidR="006D6E6E" w:rsidRPr="006D6E6E" w:rsidRDefault="00E6694B" w:rsidP="006D6E6E">
      <w:pPr>
        <w:spacing w:line="480" w:lineRule="auto"/>
        <w:jc w:val="both"/>
        <w:rPr>
          <w:rFonts w:ascii="Times New Roman" w:eastAsiaTheme="minorEastAsia" w:hAnsi="Times New Roman" w:cs="Times New Roman"/>
          <w:sz w:val="24"/>
          <w:szCs w:val="24"/>
        </w:rPr>
      </w:pPr>
      <m:oMathPara>
        <m:oMath>
          <m:d>
            <m:dPr>
              <m:begChr m:val="["/>
              <m:endChr m:val="]"/>
              <m:ctrlPr>
                <w:rPr>
                  <w:rFonts w:ascii="Cambria Math" w:hAnsi="Cambria Math" w:cs="Times New Roman"/>
                  <w:i/>
                  <w:sz w:val="24"/>
                  <w:szCs w:val="24"/>
                </w:rPr>
              </m:ctrlPr>
            </m:dPr>
            <m:e>
              <m:r>
                <w:rPr>
                  <w:rFonts w:ascii="Cambria Math" w:hAnsi="Cambria Math" w:cs="Times New Roman"/>
                  <w:sz w:val="24"/>
                  <w:szCs w:val="24"/>
                </w:rPr>
                <m:t>D</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d</m:t>
              </m:r>
            </m:sub>
          </m:sSub>
          <m:f>
            <m:fPr>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r>
                    <w:rPr>
                      <w:rFonts w:ascii="Cambria Math" w:hAnsi="Cambria Math" w:cs="Times New Roman"/>
                      <w:sz w:val="24"/>
                      <w:szCs w:val="24"/>
                    </w:rPr>
                    <m:t>DP</m:t>
                  </m:r>
                </m:e>
              </m:d>
              <m:ctrlPr>
                <w:rPr>
                  <w:rFonts w:ascii="Cambria Math" w:eastAsiaTheme="minorEastAsia" w:hAnsi="Cambria Math" w:cs="Times New Roman"/>
                  <w:i/>
                  <w:sz w:val="24"/>
                  <w:szCs w:val="24"/>
                </w:rPr>
              </m:ctrlPr>
            </m:num>
            <m:den>
              <m:d>
                <m:dPr>
                  <m:begChr m:val="["/>
                  <m:endChr m:val="]"/>
                  <m:ctrlPr>
                    <w:rPr>
                      <w:rFonts w:ascii="Cambria Math" w:hAnsi="Cambria Math" w:cs="Times New Roman"/>
                      <w:i/>
                      <w:sz w:val="24"/>
                      <w:szCs w:val="24"/>
                    </w:rPr>
                  </m:ctrlPr>
                </m:dPr>
                <m:e>
                  <m:r>
                    <w:rPr>
                      <w:rFonts w:ascii="Cambria Math" w:hAnsi="Cambria Math" w:cs="Times New Roman"/>
                      <w:sz w:val="24"/>
                      <w:szCs w:val="24"/>
                    </w:rPr>
                    <m:t>P</m:t>
                  </m:r>
                </m:e>
              </m:d>
            </m:den>
          </m:f>
        </m:oMath>
      </m:oMathPara>
    </w:p>
    <w:p w:rsidR="001626EF" w:rsidRDefault="00DF7D70" w:rsidP="00AC1354">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w:t>
      </w:r>
      <w:r w:rsidR="001626EF">
        <w:rPr>
          <w:rFonts w:ascii="Times New Roman" w:eastAsiaTheme="minorEastAsia" w:hAnsi="Times New Roman" w:cs="Times New Roman"/>
          <w:sz w:val="24"/>
          <w:szCs w:val="24"/>
        </w:rPr>
        <w:t xml:space="preserve">e totale concentratie geneesmiddel in de circulatie </w:t>
      </w:r>
      <m:oMath>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D</m:t>
                </m:r>
              </m:e>
            </m:d>
          </m:e>
          <m:sub>
            <m:r>
              <w:rPr>
                <w:rFonts w:ascii="Cambria Math" w:hAnsi="Cambria Math" w:cs="Times New Roman"/>
                <w:sz w:val="24"/>
                <w:szCs w:val="24"/>
              </w:rPr>
              <m:t>0</m:t>
            </m:r>
          </m:sub>
        </m:sSub>
      </m:oMath>
      <w:r w:rsidR="001626EF">
        <w:rPr>
          <w:rFonts w:ascii="Times New Roman" w:eastAsiaTheme="minorEastAsia" w:hAnsi="Times New Roman" w:cs="Times New Roman"/>
          <w:sz w:val="24"/>
          <w:szCs w:val="24"/>
        </w:rPr>
        <w:t xml:space="preserve"> is de som van de concentratie</w:t>
      </w:r>
      <w:r w:rsidR="006D6E6E">
        <w:rPr>
          <w:rFonts w:ascii="Times New Roman" w:eastAsiaTheme="minorEastAsia" w:hAnsi="Times New Roman" w:cs="Times New Roman"/>
          <w:sz w:val="24"/>
          <w:szCs w:val="24"/>
        </w:rPr>
        <w:t>s</w:t>
      </w:r>
      <w:r w:rsidR="001626EF">
        <w:rPr>
          <w:rFonts w:ascii="Times New Roman" w:eastAsiaTheme="minorEastAsia" w:hAnsi="Times New Roman" w:cs="Times New Roman"/>
          <w:sz w:val="24"/>
          <w:szCs w:val="24"/>
        </w:rPr>
        <w:t xml:space="preserve"> van de vrije geneesmiddelfractie </w:t>
      </w:r>
      <m:oMath>
        <m:d>
          <m:dPr>
            <m:begChr m:val="["/>
            <m:endChr m:val="]"/>
            <m:ctrlPr>
              <w:rPr>
                <w:rFonts w:ascii="Cambria Math" w:hAnsi="Cambria Math" w:cs="Times New Roman"/>
                <w:i/>
                <w:sz w:val="24"/>
                <w:szCs w:val="24"/>
              </w:rPr>
            </m:ctrlPr>
          </m:dPr>
          <m:e>
            <m:r>
              <w:rPr>
                <w:rFonts w:ascii="Cambria Math" w:hAnsi="Cambria Math" w:cs="Times New Roman"/>
                <w:sz w:val="24"/>
                <w:szCs w:val="24"/>
              </w:rPr>
              <m:t>D</m:t>
            </m:r>
          </m:e>
        </m:d>
        <m:r>
          <w:rPr>
            <w:rFonts w:ascii="Cambria Math" w:hAnsi="Cambria Math" w:cs="Times New Roman"/>
            <w:sz w:val="24"/>
            <w:szCs w:val="24"/>
          </w:rPr>
          <m:t>=α</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D</m:t>
                </m:r>
              </m:e>
            </m:d>
          </m:e>
          <m:sub>
            <m:r>
              <w:rPr>
                <w:rFonts w:ascii="Cambria Math" w:hAnsi="Cambria Math" w:cs="Times New Roman"/>
                <w:sz w:val="24"/>
                <w:szCs w:val="24"/>
              </w:rPr>
              <m:t>0</m:t>
            </m:r>
          </m:sub>
        </m:sSub>
      </m:oMath>
      <w:r w:rsidR="006D6E6E">
        <w:rPr>
          <w:rFonts w:ascii="Times New Roman" w:eastAsiaTheme="minorEastAsia" w:hAnsi="Times New Roman" w:cs="Times New Roman"/>
          <w:sz w:val="24"/>
          <w:szCs w:val="24"/>
        </w:rPr>
        <w:t xml:space="preserve"> en</w:t>
      </w:r>
      <w:r w:rsidR="00A3606C">
        <w:rPr>
          <w:rFonts w:ascii="Times New Roman" w:eastAsiaTheme="minorEastAsia" w:hAnsi="Times New Roman" w:cs="Times New Roman"/>
          <w:sz w:val="24"/>
          <w:szCs w:val="24"/>
        </w:rPr>
        <w:t xml:space="preserve"> de eiwitgebonden geneesmiddelfractie </w:t>
      </w:r>
      <m:oMath>
        <m:d>
          <m:dPr>
            <m:begChr m:val="["/>
            <m:endChr m:val="]"/>
            <m:ctrlPr>
              <w:rPr>
                <w:rFonts w:ascii="Cambria Math" w:hAnsi="Cambria Math" w:cs="Times New Roman"/>
                <w:i/>
                <w:sz w:val="24"/>
                <w:szCs w:val="24"/>
              </w:rPr>
            </m:ctrlPr>
          </m:dPr>
          <m:e>
            <m:r>
              <w:rPr>
                <w:rFonts w:ascii="Cambria Math" w:hAnsi="Cambria Math" w:cs="Times New Roman"/>
                <w:sz w:val="24"/>
                <w:szCs w:val="24"/>
              </w:rPr>
              <m:t>DP</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1-α</m:t>
            </m:r>
          </m:e>
        </m:d>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D</m:t>
                </m:r>
              </m:e>
            </m:d>
          </m:e>
          <m:sub>
            <m:r>
              <w:rPr>
                <w:rFonts w:ascii="Cambria Math" w:hAnsi="Cambria Math" w:cs="Times New Roman"/>
                <w:sz w:val="24"/>
                <w:szCs w:val="24"/>
              </w:rPr>
              <m:t>0</m:t>
            </m:r>
          </m:sub>
        </m:sSub>
      </m:oMath>
      <w:r w:rsidR="00A3606C">
        <w:rPr>
          <w:rFonts w:ascii="Times New Roman" w:eastAsiaTheme="minorEastAsia" w:hAnsi="Times New Roman" w:cs="Times New Roman"/>
          <w:sz w:val="24"/>
          <w:szCs w:val="24"/>
        </w:rPr>
        <w:t xml:space="preserve">, waarbij de dissociatiefractie </w:t>
      </w:r>
      <m:oMath>
        <m:r>
          <w:rPr>
            <w:rFonts w:ascii="Cambria Math" w:eastAsiaTheme="minorEastAsia" w:hAnsi="Cambria Math" w:cs="Times New Roman"/>
            <w:sz w:val="24"/>
            <w:szCs w:val="24"/>
          </w:rPr>
          <m:t>α</m:t>
        </m:r>
      </m:oMath>
      <w:r w:rsidR="00A3606C">
        <w:rPr>
          <w:rFonts w:ascii="Times New Roman" w:eastAsiaTheme="minorEastAsia" w:hAnsi="Times New Roman" w:cs="Times New Roman"/>
          <w:sz w:val="24"/>
          <w:szCs w:val="24"/>
        </w:rPr>
        <w:t xml:space="preserve"> een getal voorstelt tussen 0 en 1:</w:t>
      </w:r>
    </w:p>
    <w:p w:rsidR="00AC1354" w:rsidRPr="00A3606C" w:rsidRDefault="00E6694B" w:rsidP="00AC1354">
      <w:pPr>
        <w:spacing w:line="48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D</m:t>
                  </m:r>
                </m:e>
              </m:d>
            </m:e>
            <m:sub>
              <m:r>
                <w:rPr>
                  <w:rFonts w:ascii="Cambria Math" w:hAnsi="Cambria Math" w:cs="Times New Roman"/>
                  <w:sz w:val="24"/>
                  <w:szCs w:val="24"/>
                </w:rPr>
                <m:t>0</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D</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DP</m:t>
              </m:r>
            </m:e>
          </m:d>
          <m:r>
            <w:rPr>
              <w:rFonts w:ascii="Cambria Math" w:hAnsi="Cambria Math" w:cs="Times New Roman"/>
              <w:sz w:val="24"/>
              <w:szCs w:val="24"/>
            </w:rPr>
            <m:t>=α</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D</m:t>
                  </m:r>
                </m:e>
              </m:d>
            </m:e>
            <m:sub>
              <m:r>
                <w:rPr>
                  <w:rFonts w:ascii="Cambria Math" w:hAnsi="Cambria Math" w:cs="Times New Roman"/>
                  <w:sz w:val="24"/>
                  <w:szCs w:val="24"/>
                </w:rPr>
                <m:t>0</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1-α</m:t>
              </m:r>
            </m:e>
          </m:d>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D</m:t>
                  </m:r>
                </m:e>
              </m:d>
            </m:e>
            <m:sub>
              <m:r>
                <w:rPr>
                  <w:rFonts w:ascii="Cambria Math" w:hAnsi="Cambria Math" w:cs="Times New Roman"/>
                  <w:sz w:val="24"/>
                  <w:szCs w:val="24"/>
                </w:rPr>
                <m:t>0</m:t>
              </m:r>
            </m:sub>
          </m:sSub>
        </m:oMath>
      </m:oMathPara>
    </w:p>
    <w:p w:rsidR="00A3606C" w:rsidRPr="00AC1354" w:rsidRDefault="009D617E" w:rsidP="00AC1354">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Omdat dit model enkel toepasbaar is op geneesmiddelen met een significante mate van eiwitbinding (&gt;90%) in de circulatie, mag aangenomen worden dat</w:t>
      </w:r>
      <w:r w:rsidR="00A3606C">
        <w:rPr>
          <w:rFonts w:ascii="Times New Roman" w:eastAsiaTheme="minorEastAsia" w:hAnsi="Times New Roman" w:cs="Times New Roman"/>
          <w:sz w:val="24"/>
          <w:szCs w:val="24"/>
        </w:rPr>
        <w:t>:</w:t>
      </w:r>
    </w:p>
    <w:p w:rsidR="002D2D6B" w:rsidRPr="006D6E6E" w:rsidRDefault="00E6694B" w:rsidP="00AC1354">
      <w:pPr>
        <w:spacing w:line="480" w:lineRule="auto"/>
        <w:jc w:val="both"/>
        <w:rPr>
          <w:rFonts w:ascii="Times New Roman" w:eastAsiaTheme="minorEastAsia" w:hAnsi="Times New Roman" w:cs="Times New Roman"/>
          <w:sz w:val="24"/>
          <w:szCs w:val="24"/>
        </w:rPr>
      </w:pPr>
      <m:oMathPara>
        <m:oMath>
          <m:d>
            <m:dPr>
              <m:begChr m:val="["/>
              <m:endChr m:val="]"/>
              <m:ctrlPr>
                <w:rPr>
                  <w:rFonts w:ascii="Cambria Math" w:hAnsi="Cambria Math" w:cs="Times New Roman"/>
                  <w:i/>
                  <w:sz w:val="24"/>
                  <w:szCs w:val="24"/>
                </w:rPr>
              </m:ctrlPr>
            </m:dPr>
            <m:e>
              <m:r>
                <w:rPr>
                  <w:rFonts w:ascii="Cambria Math" w:hAnsi="Cambria Math" w:cs="Times New Roman"/>
                  <w:sz w:val="24"/>
                  <w:szCs w:val="24"/>
                </w:rPr>
                <m:t>DP</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D</m:t>
              </m:r>
            </m:e>
          </m:d>
        </m:oMath>
      </m:oMathPara>
    </w:p>
    <w:p w:rsidR="006D6E6E" w:rsidRPr="002D2D6B" w:rsidRDefault="006D6E6E" w:rsidP="00AC1354">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En dus:</w:t>
      </w:r>
    </w:p>
    <w:p w:rsidR="00AC1354" w:rsidRPr="00A3606C" w:rsidRDefault="00703413" w:rsidP="00AC1354">
      <w:pPr>
        <w:spacing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1-α≈1</m:t>
          </m:r>
        </m:oMath>
      </m:oMathPara>
    </w:p>
    <w:p w:rsidR="00A3606C" w:rsidRDefault="00DF7D70" w:rsidP="00AC1354">
      <w:p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Omdat </w:t>
      </w:r>
      <w:r>
        <w:rPr>
          <w:rFonts w:ascii="Times New Roman" w:hAnsi="Times New Roman" w:cs="Times New Roman"/>
          <w:sz w:val="24"/>
          <w:szCs w:val="24"/>
        </w:rPr>
        <w:t>het bindende eiwit ten opzichte van het geneesmiddel altijd in ruime overmaat aanwezig is in de circulatie, geldt tevens</w:t>
      </w:r>
      <w:r w:rsidR="00A3606C">
        <w:rPr>
          <w:rFonts w:ascii="Times New Roman" w:eastAsiaTheme="minorEastAsia" w:hAnsi="Times New Roman" w:cs="Times New Roman"/>
          <w:sz w:val="24"/>
          <w:szCs w:val="24"/>
        </w:rPr>
        <w:t>:</w:t>
      </w:r>
    </w:p>
    <w:p w:rsidR="002D2D6B" w:rsidRPr="006D6E6E" w:rsidRDefault="00E6694B" w:rsidP="00AC1354">
      <w:pPr>
        <w:spacing w:line="480" w:lineRule="auto"/>
        <w:jc w:val="both"/>
        <w:rPr>
          <w:rFonts w:ascii="Times New Roman" w:eastAsiaTheme="minorEastAsia" w:hAnsi="Times New Roman" w:cs="Times New Roman"/>
          <w:sz w:val="24"/>
          <w:szCs w:val="24"/>
        </w:rPr>
      </w:pPr>
      <m:oMathPara>
        <m:oMath>
          <m:d>
            <m:dPr>
              <m:begChr m:val="["/>
              <m:endChr m:val="]"/>
              <m:ctrlPr>
                <w:rPr>
                  <w:rFonts w:ascii="Cambria Math" w:hAnsi="Cambria Math" w:cs="Times New Roman"/>
                  <w:i/>
                  <w:sz w:val="24"/>
                  <w:szCs w:val="24"/>
                </w:rPr>
              </m:ctrlPr>
            </m:dPr>
            <m:e>
              <m:r>
                <w:rPr>
                  <w:rFonts w:ascii="Cambria Math" w:hAnsi="Cambria Math" w:cs="Times New Roman"/>
                  <w:sz w:val="24"/>
                  <w:szCs w:val="24"/>
                </w:rPr>
                <m:t>P</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DP</m:t>
              </m:r>
            </m:e>
          </m:d>
        </m:oMath>
      </m:oMathPara>
    </w:p>
    <w:p w:rsidR="006D6E6E" w:rsidRPr="002D2D6B" w:rsidRDefault="006D6E6E" w:rsidP="00AC1354">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En dus:</w:t>
      </w:r>
    </w:p>
    <w:p w:rsidR="00FB257B" w:rsidRPr="00A3606C" w:rsidRDefault="00E6694B" w:rsidP="00AC1354">
      <w:pPr>
        <w:spacing w:line="480" w:lineRule="auto"/>
        <w:jc w:val="both"/>
        <w:rPr>
          <w:rFonts w:ascii="Times New Roman" w:eastAsiaTheme="minorEastAsia" w:hAnsi="Times New Roman" w:cs="Times New Roman"/>
          <w:sz w:val="24"/>
          <w:szCs w:val="24"/>
        </w:rPr>
      </w:pPr>
      <m:oMathPara>
        <m:oMath>
          <m:d>
            <m:dPr>
              <m:begChr m:val="["/>
              <m:endChr m:val="]"/>
              <m:ctrlPr>
                <w:rPr>
                  <w:rFonts w:ascii="Cambria Math" w:hAnsi="Cambria Math" w:cs="Times New Roman"/>
                  <w:i/>
                  <w:sz w:val="24"/>
                  <w:szCs w:val="24"/>
                </w:rPr>
              </m:ctrlPr>
            </m:dPr>
            <m:e>
              <m:r>
                <w:rPr>
                  <w:rFonts w:ascii="Cambria Math" w:hAnsi="Cambria Math" w:cs="Times New Roman"/>
                  <w:sz w:val="24"/>
                  <w:szCs w:val="24"/>
                </w:rPr>
                <m:t>P</m:t>
              </m:r>
            </m:e>
          </m:d>
          <m:r>
            <w:rPr>
              <w:rFonts w:ascii="Cambria Math" w:hAnsi="Cambria Math" w:cs="Times New Roman"/>
              <w:sz w:val="24"/>
              <w:szCs w:val="24"/>
            </w:rPr>
            <m:t>≈</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P</m:t>
                  </m:r>
                </m:e>
              </m:d>
            </m:e>
            <m:sub>
              <m:r>
                <w:rPr>
                  <w:rFonts w:ascii="Cambria Math" w:hAnsi="Cambria Math" w:cs="Times New Roman"/>
                  <w:sz w:val="24"/>
                  <w:szCs w:val="24"/>
                </w:rPr>
                <m:t>0</m:t>
              </m:r>
            </m:sub>
          </m:sSub>
        </m:oMath>
      </m:oMathPara>
    </w:p>
    <w:p w:rsidR="00A3606C" w:rsidRPr="00FB257B" w:rsidRDefault="006D6E6E" w:rsidP="00AC1354">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Uit substitutie volgt</w:t>
      </w:r>
      <w:r w:rsidR="00A3606C">
        <w:rPr>
          <w:rFonts w:ascii="Times New Roman" w:eastAsiaTheme="minorEastAsia" w:hAnsi="Times New Roman" w:cs="Times New Roman"/>
          <w:sz w:val="24"/>
          <w:szCs w:val="24"/>
        </w:rPr>
        <w:t>:</w:t>
      </w:r>
    </w:p>
    <w:p w:rsidR="00FB257B" w:rsidRPr="00A3606C" w:rsidRDefault="00E6694B" w:rsidP="00AC1354">
      <w:pPr>
        <w:spacing w:line="480" w:lineRule="auto"/>
        <w:jc w:val="both"/>
        <w:rPr>
          <w:rFonts w:ascii="Times New Roman" w:eastAsiaTheme="minorEastAsia" w:hAnsi="Times New Roman" w:cs="Times New Roman"/>
          <w:sz w:val="24"/>
          <w:szCs w:val="24"/>
        </w:rPr>
      </w:pPr>
      <m:oMathPara>
        <m:oMath>
          <m:d>
            <m:dPr>
              <m:begChr m:val="["/>
              <m:endChr m:val="]"/>
              <m:ctrlPr>
                <w:rPr>
                  <w:rFonts w:ascii="Cambria Math" w:hAnsi="Cambria Math" w:cs="Times New Roman"/>
                  <w:i/>
                  <w:sz w:val="24"/>
                  <w:szCs w:val="24"/>
                </w:rPr>
              </m:ctrlPr>
            </m:dPr>
            <m:e>
              <m:r>
                <w:rPr>
                  <w:rFonts w:ascii="Cambria Math" w:hAnsi="Cambria Math" w:cs="Times New Roman"/>
                  <w:sz w:val="24"/>
                  <w:szCs w:val="24"/>
                </w:rPr>
                <m:t>D</m:t>
              </m:r>
            </m:e>
          </m:d>
          <m:r>
            <w:rPr>
              <w:rFonts w:ascii="Cambria Math" w:hAnsi="Cambria Math" w:cs="Times New Roman"/>
              <w:sz w:val="24"/>
              <w:szCs w:val="24"/>
            </w:rPr>
            <m:t>=α</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D</m:t>
                  </m:r>
                </m:e>
              </m:d>
            </m:e>
            <m:sub>
              <m:r>
                <w:rPr>
                  <w:rFonts w:ascii="Cambria Math" w:hAnsi="Cambria Math" w:cs="Times New Roman"/>
                  <w:sz w:val="24"/>
                  <w:szCs w:val="24"/>
                </w:rPr>
                <m:t>0</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d</m:t>
                  </m:r>
                </m:sub>
              </m:sSub>
            </m:num>
            <m:den>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P</m:t>
                      </m:r>
                    </m:e>
                  </m:d>
                </m:e>
                <m:sub>
                  <m:r>
                    <w:rPr>
                      <w:rFonts w:ascii="Cambria Math" w:hAnsi="Cambria Math" w:cs="Times New Roman"/>
                      <w:sz w:val="24"/>
                      <w:szCs w:val="24"/>
                    </w:rPr>
                    <m:t>0</m:t>
                  </m:r>
                </m:sub>
              </m:sSub>
            </m:den>
          </m:f>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D</m:t>
                  </m:r>
                </m:e>
              </m:d>
            </m:e>
            <m:sub>
              <m:r>
                <w:rPr>
                  <w:rFonts w:ascii="Cambria Math" w:hAnsi="Cambria Math" w:cs="Times New Roman"/>
                  <w:sz w:val="24"/>
                  <w:szCs w:val="24"/>
                </w:rPr>
                <m:t>0</m:t>
              </m:r>
            </m:sub>
          </m:sSub>
        </m:oMath>
      </m:oMathPara>
    </w:p>
    <w:p w:rsidR="00A3606C" w:rsidRDefault="006D6E6E" w:rsidP="00AC1354">
      <w:p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Zo kan </w:t>
      </w:r>
      <m:oMath>
        <m:r>
          <w:rPr>
            <w:rFonts w:ascii="Cambria Math" w:hAnsi="Cambria Math" w:cs="Times New Roman"/>
            <w:sz w:val="24"/>
            <w:szCs w:val="24"/>
          </w:rPr>
          <m:t>α</m:t>
        </m:r>
      </m:oMath>
      <w:r>
        <w:rPr>
          <w:rFonts w:ascii="Times New Roman" w:eastAsiaTheme="minorEastAsia" w:hAnsi="Times New Roman" w:cs="Times New Roman"/>
          <w:sz w:val="24"/>
          <w:szCs w:val="24"/>
        </w:rPr>
        <w:t xml:space="preserve"> als volgt worden gedefinieerd</w:t>
      </w:r>
      <w:r w:rsidR="00A3606C">
        <w:rPr>
          <w:rFonts w:ascii="Times New Roman" w:eastAsiaTheme="minorEastAsia" w:hAnsi="Times New Roman" w:cs="Times New Roman"/>
          <w:sz w:val="24"/>
          <w:szCs w:val="24"/>
        </w:rPr>
        <w:t>:</w:t>
      </w:r>
    </w:p>
    <w:p w:rsidR="00FB257B" w:rsidRPr="00A3606C" w:rsidRDefault="00AC1354" w:rsidP="00AC1354">
      <w:pPr>
        <w:spacing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α=</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d</m:t>
                  </m:r>
                </m:sub>
              </m:sSub>
            </m:num>
            <m:den>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P</m:t>
                      </m:r>
                    </m:e>
                  </m:d>
                </m:e>
                <m:sub>
                  <m:r>
                    <w:rPr>
                      <w:rFonts w:ascii="Cambria Math" w:hAnsi="Cambria Math" w:cs="Times New Roman"/>
                      <w:sz w:val="24"/>
                      <w:szCs w:val="24"/>
                    </w:rPr>
                    <m:t>0</m:t>
                  </m:r>
                </m:sub>
              </m:sSub>
            </m:den>
          </m:f>
        </m:oMath>
      </m:oMathPara>
    </w:p>
    <w:p w:rsidR="00A3606C" w:rsidRDefault="00A3606C" w:rsidP="00AC1354">
      <w:p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De </w:t>
      </w:r>
      <w:proofErr w:type="spellStart"/>
      <w:r>
        <w:rPr>
          <w:rFonts w:ascii="Times New Roman" w:hAnsi="Times New Roman" w:cs="Times New Roman"/>
          <w:sz w:val="24"/>
          <w:szCs w:val="24"/>
        </w:rPr>
        <w:t>efficacy</w:t>
      </w:r>
      <w:proofErr w:type="spellEnd"/>
      <w:r>
        <w:rPr>
          <w:rFonts w:ascii="Times New Roman" w:hAnsi="Times New Roman" w:cs="Times New Roman"/>
          <w:sz w:val="24"/>
          <w:szCs w:val="24"/>
        </w:rPr>
        <w:t xml:space="preserve"> </w:t>
      </w:r>
      <m:oMath>
        <m:r>
          <w:rPr>
            <w:rFonts w:ascii="Cambria Math" w:hAnsi="Cambria Math" w:cs="Times New Roman"/>
            <w:sz w:val="24"/>
            <w:szCs w:val="24"/>
          </w:rPr>
          <m:t>E</m:t>
        </m:r>
      </m:oMath>
      <w:r>
        <w:rPr>
          <w:rFonts w:ascii="Times New Roman" w:hAnsi="Times New Roman" w:cs="Times New Roman"/>
          <w:sz w:val="24"/>
          <w:szCs w:val="24"/>
        </w:rPr>
        <w:t xml:space="preserve"> van een geneesmiddel wordt doorgaans beschreven door middel van een Michaelis-Menten-achtige concentratie-effectcurve, waarbij aangenomen wordt dat voor de farmacologische werkzaamheid tot stand komt door binding van een geneesmiddel aan een receptor. Max</w:t>
      </w:r>
      <w:proofErr w:type="spellStart"/>
      <w:r>
        <w:rPr>
          <w:rFonts w:ascii="Times New Roman" w:hAnsi="Times New Roman" w:cs="Times New Roman"/>
          <w:sz w:val="24"/>
          <w:szCs w:val="24"/>
        </w:rPr>
        <w:t>imale</w:t>
      </w:r>
      <w:proofErr w:type="spellEnd"/>
      <w:r>
        <w:rPr>
          <w:rFonts w:ascii="Times New Roman" w:hAnsi="Times New Roman" w:cs="Times New Roman"/>
          <w:sz w:val="24"/>
          <w:szCs w:val="24"/>
        </w:rPr>
        <w:t xml:space="preserve"> verzadiging van deze receptoren leidt tot een maximale </w:t>
      </w:r>
      <w:proofErr w:type="spellStart"/>
      <w:r>
        <w:rPr>
          <w:rFonts w:ascii="Times New Roman" w:hAnsi="Times New Roman" w:cs="Times New Roman"/>
          <w:sz w:val="24"/>
          <w:szCs w:val="24"/>
        </w:rPr>
        <w:t>efficacy</w:t>
      </w:r>
      <w:proofErr w:type="spellEnd"/>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max</m:t>
            </m:r>
          </m:sub>
        </m:sSub>
      </m:oMath>
      <w:r>
        <w:rPr>
          <w:rFonts w:ascii="Times New Roman" w:eastAsiaTheme="minorEastAsia" w:hAnsi="Times New Roman" w:cs="Times New Roman"/>
          <w:sz w:val="24"/>
          <w:szCs w:val="24"/>
        </w:rPr>
        <w:t>, waarna verdere verhoging van de concentratie van een ongebonden geneesmiddel in de circulatie geen toegevoegde waarde meer heeft</w:t>
      </w:r>
      <w:r>
        <w:rPr>
          <w:rFonts w:ascii="Times New Roman" w:hAnsi="Times New Roman" w:cs="Times New Roman"/>
          <w:sz w:val="24"/>
          <w:szCs w:val="24"/>
        </w:rPr>
        <w:t>. Dit wordt als volgt beschreven:</w:t>
      </w:r>
    </w:p>
    <w:p w:rsidR="00FB257B" w:rsidRPr="00A3606C" w:rsidRDefault="00E6694B" w:rsidP="00AC1354">
      <w:pPr>
        <w:spacing w:line="480" w:lineRule="auto"/>
        <w:jc w:val="both"/>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E</m:t>
              </m:r>
            </m:num>
            <m:den>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max</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α</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D</m:t>
                      </m:r>
                    </m:e>
                  </m:d>
                </m:e>
                <m:sub>
                  <m:r>
                    <w:rPr>
                      <w:rFonts w:ascii="Cambria Math" w:hAnsi="Cambria Math" w:cs="Times New Roman"/>
                      <w:sz w:val="24"/>
                      <w:szCs w:val="24"/>
                    </w:rPr>
                    <m:t>0</m:t>
                  </m:r>
                </m:sub>
              </m:sSub>
            </m:num>
            <m:den>
              <m:r>
                <w:rPr>
                  <w:rFonts w:ascii="Cambria Math" w:hAnsi="Cambria Math" w:cs="Times New Roman"/>
                  <w:sz w:val="24"/>
                  <w:szCs w:val="24"/>
                </w:rPr>
                <m:t>α</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D</m:t>
                      </m:r>
                    </m:e>
                  </m:d>
                </m:e>
                <m:sub>
                  <m:r>
                    <w:rPr>
                      <w:rFonts w:ascii="Cambria Math" w:hAnsi="Cambria Math" w:cs="Times New Roman"/>
                      <w:sz w:val="24"/>
                      <w:szCs w:val="24"/>
                    </w:rPr>
                    <m:t>0</m:t>
                  </m:r>
                </m:sub>
              </m:sSub>
              <m:r>
                <w:rPr>
                  <w:rFonts w:ascii="Cambria Math" w:hAnsi="Cambria Math" w:cs="Times New Roman"/>
                  <w:sz w:val="24"/>
                  <w:szCs w:val="24"/>
                </w:rPr>
                <m:t>+E</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50</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E</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50</m:t>
                      </m:r>
                    </m:sub>
                  </m:sSub>
                </m:num>
                <m:den>
                  <m:r>
                    <w:rPr>
                      <w:rFonts w:ascii="Cambria Math" w:hAnsi="Cambria Math" w:cs="Times New Roman"/>
                      <w:sz w:val="24"/>
                      <w:szCs w:val="24"/>
                    </w:rPr>
                    <m:t>α</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D</m:t>
                          </m:r>
                        </m:e>
                      </m:d>
                    </m:e>
                    <m:sub>
                      <m:r>
                        <w:rPr>
                          <w:rFonts w:ascii="Cambria Math" w:hAnsi="Cambria Math" w:cs="Times New Roman"/>
                          <w:sz w:val="24"/>
                          <w:szCs w:val="24"/>
                        </w:rPr>
                        <m:t>0</m:t>
                      </m:r>
                    </m:sub>
                  </m:sSub>
                </m:den>
              </m:f>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E</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50</m:t>
                      </m:r>
                    </m:sub>
                  </m:sSub>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P</m:t>
                          </m:r>
                        </m:e>
                      </m:d>
                    </m:e>
                    <m:sub>
                      <m:r>
                        <w:rPr>
                          <w:rFonts w:ascii="Cambria Math" w:hAnsi="Cambria Math" w:cs="Times New Roman"/>
                          <w:sz w:val="24"/>
                          <w:szCs w:val="24"/>
                        </w:rPr>
                        <m:t>0</m:t>
                      </m:r>
                    </m:sub>
                  </m:sSub>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d</m:t>
                      </m:r>
                    </m:sub>
                  </m:sSub>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D</m:t>
                          </m:r>
                        </m:e>
                      </m:d>
                    </m:e>
                    <m:sub>
                      <m:r>
                        <w:rPr>
                          <w:rFonts w:ascii="Cambria Math" w:hAnsi="Cambria Math" w:cs="Times New Roman"/>
                          <w:sz w:val="24"/>
                          <w:szCs w:val="24"/>
                        </w:rPr>
                        <m:t>0</m:t>
                      </m:r>
                    </m:sub>
                  </m:sSub>
                </m:den>
              </m:f>
            </m:den>
          </m:f>
        </m:oMath>
      </m:oMathPara>
    </w:p>
    <w:p w:rsidR="00A3606C" w:rsidRDefault="00A3606C" w:rsidP="00AC1354">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de bovenstaande vergelijking stelt </w:t>
      </w:r>
      <m:oMath>
        <m:r>
          <w:rPr>
            <w:rFonts w:ascii="Cambria Math" w:eastAsiaTheme="minorEastAsia" w:hAnsi="Cambria Math" w:cs="Times New Roman"/>
            <w:sz w:val="24"/>
            <w:szCs w:val="24"/>
          </w:rPr>
          <m:t>E</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50</m:t>
            </m:r>
          </m:sub>
        </m:sSub>
      </m:oMath>
      <w:r>
        <w:rPr>
          <w:rFonts w:ascii="Times New Roman" w:eastAsiaTheme="minorEastAsia" w:hAnsi="Times New Roman" w:cs="Times New Roman"/>
          <w:sz w:val="24"/>
          <w:szCs w:val="24"/>
        </w:rPr>
        <w:t xml:space="preserve"> de geneesmiddelconcentratie waarbij de helft van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max</m:t>
            </m:r>
          </m:sub>
        </m:sSub>
      </m:oMath>
      <w:r>
        <w:rPr>
          <w:rFonts w:ascii="Times New Roman" w:eastAsiaTheme="minorEastAsia" w:hAnsi="Times New Roman" w:cs="Times New Roman"/>
          <w:sz w:val="24"/>
          <w:szCs w:val="24"/>
        </w:rPr>
        <w:t xml:space="preserve"> bereikt wordt voor. Vanzelfsprekend is het bovenstaande concentratie-effectmodel een gesimplificeerde w</w:t>
      </w:r>
      <w:proofErr w:type="spellStart"/>
      <w:r>
        <w:rPr>
          <w:rFonts w:ascii="Times New Roman" w:eastAsiaTheme="minorEastAsia" w:hAnsi="Times New Roman" w:cs="Times New Roman"/>
          <w:sz w:val="24"/>
          <w:szCs w:val="24"/>
        </w:rPr>
        <w:t>eergave</w:t>
      </w:r>
      <w:proofErr w:type="spellEnd"/>
      <w:r>
        <w:rPr>
          <w:rFonts w:ascii="Times New Roman" w:eastAsiaTheme="minorEastAsia" w:hAnsi="Times New Roman" w:cs="Times New Roman"/>
          <w:sz w:val="24"/>
          <w:szCs w:val="24"/>
        </w:rPr>
        <w:t xml:space="preserve"> van de werkelijkheid, maar voor de afleiding van dit model </w:t>
      </w:r>
      <w:r w:rsidR="009D617E">
        <w:rPr>
          <w:rFonts w:ascii="Times New Roman" w:eastAsiaTheme="minorEastAsia" w:hAnsi="Times New Roman" w:cs="Times New Roman"/>
          <w:sz w:val="24"/>
          <w:szCs w:val="24"/>
        </w:rPr>
        <w:t xml:space="preserve">goed verdedigbaar en bruikbaar. </w:t>
      </w:r>
    </w:p>
    <w:p w:rsidR="009D617E" w:rsidRPr="009A3201" w:rsidRDefault="009D617E" w:rsidP="00AC1354">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Als de </w:t>
      </w:r>
      <w:proofErr w:type="spellStart"/>
      <w:r>
        <w:rPr>
          <w:rFonts w:ascii="Times New Roman" w:eastAsiaTheme="minorEastAsia" w:hAnsi="Times New Roman" w:cs="Times New Roman"/>
          <w:sz w:val="24"/>
          <w:szCs w:val="24"/>
        </w:rPr>
        <w:t>efficacy</w:t>
      </w:r>
      <w:proofErr w:type="spellEnd"/>
      <w:r>
        <w:rPr>
          <w:rFonts w:ascii="Times New Roman" w:eastAsiaTheme="minorEastAsia" w:hAnsi="Times New Roman" w:cs="Times New Roman"/>
          <w:sz w:val="24"/>
          <w:szCs w:val="24"/>
        </w:rPr>
        <w:t xml:space="preserve"> van een sterk eiwitgebonden geneesmiddel</w:t>
      </w:r>
      <w:r w:rsidR="00505EEA">
        <w:rPr>
          <w:rFonts w:ascii="Times New Roman" w:eastAsiaTheme="minorEastAsia" w:hAnsi="Times New Roman" w:cs="Times New Roman"/>
          <w:sz w:val="24"/>
          <w:szCs w:val="24"/>
        </w:rPr>
        <w:t xml:space="preserve"> in een situatie met plasma-eiwitconcentratie </w:t>
      </w:r>
      <m:oMath>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P</m:t>
                </m:r>
              </m:e>
            </m:d>
          </m:e>
          <m:sub>
            <m:r>
              <w:rPr>
                <w:rFonts w:ascii="Cambria Math" w:hAnsi="Cambria Math" w:cs="Times New Roman"/>
                <w:sz w:val="24"/>
                <w:szCs w:val="24"/>
              </w:rPr>
              <m:t>0,1</m:t>
            </m:r>
          </m:sub>
        </m:sSub>
      </m:oMath>
      <w:r>
        <w:rPr>
          <w:rFonts w:ascii="Times New Roman" w:eastAsiaTheme="minorEastAsia" w:hAnsi="Times New Roman" w:cs="Times New Roman"/>
          <w:sz w:val="24"/>
          <w:szCs w:val="24"/>
        </w:rPr>
        <w:t xml:space="preserve"> </w:t>
      </w:r>
      <w:r w:rsidR="00505EEA">
        <w:rPr>
          <w:rFonts w:ascii="Times New Roman" w:eastAsiaTheme="minorEastAsia" w:hAnsi="Times New Roman" w:cs="Times New Roman"/>
          <w:sz w:val="24"/>
          <w:szCs w:val="24"/>
        </w:rPr>
        <w:t xml:space="preserve">wordt vergeleken met die met plasma-eiwitconcentratie </w:t>
      </w:r>
      <m:oMath>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P</m:t>
                </m:r>
              </m:e>
            </m:d>
          </m:e>
          <m:sub>
            <m:r>
              <w:rPr>
                <w:rFonts w:ascii="Cambria Math" w:hAnsi="Cambria Math" w:cs="Times New Roman"/>
                <w:sz w:val="24"/>
                <w:szCs w:val="24"/>
              </w:rPr>
              <m:t>0,2</m:t>
            </m:r>
          </m:sub>
        </m:sSub>
      </m:oMath>
      <w:r w:rsidR="00505EEA">
        <w:rPr>
          <w:rFonts w:ascii="Times New Roman" w:eastAsiaTheme="minorEastAsia" w:hAnsi="Times New Roman" w:cs="Times New Roman"/>
          <w:sz w:val="24"/>
          <w:szCs w:val="24"/>
        </w:rPr>
        <w:t xml:space="preserve"> en de overige parameters niet veranderen, kan de relatieve efficacy of “efficacy-ratio” </w:t>
      </w:r>
      <m:oMath>
        <m:r>
          <w:rPr>
            <w:rFonts w:ascii="Cambria Math" w:eastAsiaTheme="minorEastAsia" w:hAnsi="Cambria Math" w:cs="Times New Roman"/>
            <w:sz w:val="24"/>
            <w:szCs w:val="24"/>
          </w:rPr>
          <m:t>γ</m:t>
        </m:r>
      </m:oMath>
      <w:r w:rsidR="00505EEA">
        <w:rPr>
          <w:rFonts w:ascii="Times New Roman" w:eastAsiaTheme="minorEastAsia" w:hAnsi="Times New Roman" w:cs="Times New Roman"/>
          <w:sz w:val="24"/>
          <w:szCs w:val="24"/>
        </w:rPr>
        <w:t xml:space="preserve"> bepaald worden door beide uitdrukkingen op elkaar te delen en algebraïsch te vereenvoudigen:</w:t>
      </w:r>
    </w:p>
    <w:p w:rsidR="009A3201" w:rsidRPr="00505EEA" w:rsidRDefault="009A3201" w:rsidP="00AC1354">
      <w:pPr>
        <w:spacing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γ=</m:t>
          </m:r>
          <m:f>
            <m:fPr>
              <m:type m:val="lin"/>
              <m:ctrlPr>
                <w:rPr>
                  <w:rFonts w:ascii="Cambria Math" w:hAnsi="Cambria Math" w:cs="Times New Roman"/>
                  <w:i/>
                  <w:sz w:val="24"/>
                  <w:szCs w:val="24"/>
                </w:rPr>
              </m:ctrlPr>
            </m:fPr>
            <m:num>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num>
                    <m:den>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max</m:t>
                          </m:r>
                        </m:sub>
                      </m:sSub>
                    </m:den>
                  </m:f>
                </m:e>
              </m:d>
            </m:num>
            <m:den>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max</m:t>
                          </m:r>
                        </m:sub>
                      </m:sSub>
                    </m:den>
                  </m:f>
                </m:e>
              </m:d>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num>
            <m:den>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den>
          </m:f>
          <m:r>
            <w:rPr>
              <w:rFonts w:ascii="Cambria Math" w:eastAsiaTheme="minorEastAsia" w:hAnsi="Cambria Math" w:cs="Times New Roman"/>
              <w:sz w:val="24"/>
              <w:szCs w:val="24"/>
            </w:rPr>
            <m:t>=</m:t>
          </m:r>
          <m:f>
            <m:fPr>
              <m:ctrlPr>
                <w:rPr>
                  <w:rFonts w:ascii="Cambria Math" w:hAnsi="Cambria Math" w:cs="Times New Roman"/>
                  <w:i/>
                  <w:sz w:val="24"/>
                  <w:szCs w:val="24"/>
                </w:rPr>
              </m:ctrlPr>
            </m:fPr>
            <m:num>
              <m:f>
                <m:fPr>
                  <m:type m:val="lin"/>
                  <m:ctrlPr>
                    <w:rPr>
                      <w:rFonts w:ascii="Cambria Math" w:hAnsi="Cambria Math" w:cs="Times New Roman"/>
                      <w:i/>
                      <w:sz w:val="24"/>
                      <w:szCs w:val="24"/>
                    </w:rPr>
                  </m:ctrlPr>
                </m:fPr>
                <m:num>
                  <m:r>
                    <w:rPr>
                      <w:rFonts w:ascii="Cambria Math" w:hAnsi="Cambria Math" w:cs="Times New Roman"/>
                      <w:sz w:val="24"/>
                      <w:szCs w:val="24"/>
                    </w:rPr>
                    <m:t>1</m:t>
                  </m:r>
                </m:num>
                <m:den>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E</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50</m:t>
                              </m:r>
                            </m:sub>
                          </m:sSub>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P</m:t>
                                  </m:r>
                                </m:e>
                              </m:d>
                            </m:e>
                            <m:sub>
                              <m:r>
                                <w:rPr>
                                  <w:rFonts w:ascii="Cambria Math" w:hAnsi="Cambria Math" w:cs="Times New Roman"/>
                                  <w:sz w:val="24"/>
                                  <w:szCs w:val="24"/>
                                </w:rPr>
                                <m:t>0,2</m:t>
                              </m:r>
                            </m:sub>
                          </m:sSub>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d</m:t>
                              </m:r>
                            </m:sub>
                          </m:sSub>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D</m:t>
                                  </m:r>
                                </m:e>
                              </m:d>
                            </m:e>
                            <m:sub>
                              <m:r>
                                <w:rPr>
                                  <w:rFonts w:ascii="Cambria Math" w:hAnsi="Cambria Math" w:cs="Times New Roman"/>
                                  <w:sz w:val="24"/>
                                  <w:szCs w:val="24"/>
                                </w:rPr>
                                <m:t>0</m:t>
                              </m:r>
                            </m:sub>
                          </m:sSub>
                        </m:den>
                      </m:f>
                    </m:e>
                  </m:d>
                </m:den>
              </m:f>
            </m:num>
            <m:den>
              <m:f>
                <m:fPr>
                  <m:type m:val="lin"/>
                  <m:ctrlPr>
                    <w:rPr>
                      <w:rFonts w:ascii="Cambria Math" w:hAnsi="Cambria Math" w:cs="Times New Roman"/>
                      <w:i/>
                      <w:sz w:val="24"/>
                      <w:szCs w:val="24"/>
                    </w:rPr>
                  </m:ctrlPr>
                </m:fPr>
                <m:num>
                  <m:r>
                    <w:rPr>
                      <w:rFonts w:ascii="Cambria Math" w:hAnsi="Cambria Math" w:cs="Times New Roman"/>
                      <w:sz w:val="24"/>
                      <w:szCs w:val="24"/>
                    </w:rPr>
                    <m:t>1</m:t>
                  </m:r>
                </m:num>
                <m:den>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E</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50</m:t>
                              </m:r>
                            </m:sub>
                          </m:sSub>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P</m:t>
                                  </m:r>
                                </m:e>
                              </m:d>
                            </m:e>
                            <m:sub>
                              <m:r>
                                <w:rPr>
                                  <w:rFonts w:ascii="Cambria Math" w:hAnsi="Cambria Math" w:cs="Times New Roman"/>
                                  <w:sz w:val="24"/>
                                  <w:szCs w:val="24"/>
                                </w:rPr>
                                <m:t>0,1</m:t>
                              </m:r>
                            </m:sub>
                          </m:sSub>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d</m:t>
                              </m:r>
                            </m:sub>
                          </m:sSub>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D</m:t>
                                  </m:r>
                                </m:e>
                              </m:d>
                            </m:e>
                            <m:sub>
                              <m:r>
                                <w:rPr>
                                  <w:rFonts w:ascii="Cambria Math" w:hAnsi="Cambria Math" w:cs="Times New Roman"/>
                                  <w:sz w:val="24"/>
                                  <w:szCs w:val="24"/>
                                </w:rPr>
                                <m:t>0</m:t>
                              </m:r>
                            </m:sub>
                          </m:sSub>
                        </m:den>
                      </m:f>
                    </m:e>
                  </m:d>
                </m:den>
              </m:f>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d</m:t>
                  </m:r>
                </m:sub>
              </m:sSub>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D</m:t>
                      </m:r>
                    </m:e>
                  </m:d>
                </m:e>
                <m:sub>
                  <m:r>
                    <w:rPr>
                      <w:rFonts w:ascii="Cambria Math" w:hAnsi="Cambria Math" w:cs="Times New Roman"/>
                      <w:sz w:val="24"/>
                      <w:szCs w:val="24"/>
                    </w:rPr>
                    <m:t>0</m:t>
                  </m:r>
                </m:sub>
              </m:sSub>
              <m:r>
                <w:rPr>
                  <w:rFonts w:ascii="Cambria Math" w:hAnsi="Cambria Math" w:cs="Times New Roman"/>
                  <w:sz w:val="24"/>
                  <w:szCs w:val="24"/>
                </w:rPr>
                <m:t>+E</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50</m:t>
                  </m:r>
                </m:sub>
              </m:sSub>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P</m:t>
                      </m:r>
                    </m:e>
                  </m:d>
                </m:e>
                <m:sub>
                  <m:r>
                    <w:rPr>
                      <w:rFonts w:ascii="Cambria Math" w:hAnsi="Cambria Math" w:cs="Times New Roman"/>
                      <w:sz w:val="24"/>
                      <w:szCs w:val="24"/>
                    </w:rPr>
                    <m:t>0,1</m:t>
                  </m:r>
                </m:sub>
              </m:sSub>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d</m:t>
                  </m:r>
                </m:sub>
              </m:sSub>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D</m:t>
                      </m:r>
                    </m:e>
                  </m:d>
                </m:e>
                <m:sub>
                  <m:r>
                    <w:rPr>
                      <w:rFonts w:ascii="Cambria Math" w:hAnsi="Cambria Math" w:cs="Times New Roman"/>
                      <w:sz w:val="24"/>
                      <w:szCs w:val="24"/>
                    </w:rPr>
                    <m:t>0</m:t>
                  </m:r>
                </m:sub>
              </m:sSub>
              <m:r>
                <w:rPr>
                  <w:rFonts w:ascii="Cambria Math" w:hAnsi="Cambria Math" w:cs="Times New Roman"/>
                  <w:sz w:val="24"/>
                  <w:szCs w:val="24"/>
                </w:rPr>
                <m:t>+E</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50</m:t>
                  </m:r>
                </m:sub>
              </m:sSub>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P</m:t>
                      </m:r>
                    </m:e>
                  </m:d>
                </m:e>
                <m:sub>
                  <m:r>
                    <w:rPr>
                      <w:rFonts w:ascii="Cambria Math" w:hAnsi="Cambria Math" w:cs="Times New Roman"/>
                      <w:sz w:val="24"/>
                      <w:szCs w:val="24"/>
                    </w:rPr>
                    <m:t>0,2</m:t>
                  </m:r>
                </m:sub>
              </m:sSub>
            </m:den>
          </m:f>
        </m:oMath>
      </m:oMathPara>
    </w:p>
    <w:p w:rsidR="00505EEA" w:rsidRPr="009A3201" w:rsidRDefault="00505EEA" w:rsidP="00AC1354">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Als tevens mag worden aangenomen dat: </w:t>
      </w:r>
    </w:p>
    <w:p w:rsidR="009A3201" w:rsidRPr="00505EEA" w:rsidRDefault="009A3201" w:rsidP="00AC1354">
      <w:pPr>
        <w:spacing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E</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50</m:t>
              </m:r>
            </m:sub>
          </m:sSub>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P</m:t>
                  </m:r>
                </m:e>
              </m:d>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d</m:t>
              </m:r>
            </m:sub>
          </m:sSub>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D</m:t>
                  </m:r>
                </m:e>
              </m:d>
            </m:e>
            <m:sub>
              <m:r>
                <w:rPr>
                  <w:rFonts w:ascii="Cambria Math" w:hAnsi="Cambria Math" w:cs="Times New Roman"/>
                  <w:sz w:val="24"/>
                  <w:szCs w:val="24"/>
                </w:rPr>
                <m:t>0</m:t>
              </m:r>
            </m:sub>
          </m:sSub>
        </m:oMath>
      </m:oMathPara>
    </w:p>
    <w:p w:rsidR="00505EEA" w:rsidRPr="009A3201" w:rsidRDefault="00505EEA" w:rsidP="00AC1354">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Hetgeen een geldige aanname lijkt</w:t>
      </w:r>
      <w:r w:rsidR="002D2D6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gezien de orde-van-grootteverschillen tussen de concentraties van eiwitten en geneesmiddelen en de circulatie en het feit dat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d</m:t>
            </m:r>
          </m:sub>
        </m:sSub>
      </m:oMath>
      <w:r>
        <w:rPr>
          <w:rFonts w:ascii="Times New Roman" w:eastAsiaTheme="minorEastAsia" w:hAnsi="Times New Roman" w:cs="Times New Roman"/>
          <w:sz w:val="24"/>
          <w:szCs w:val="24"/>
        </w:rPr>
        <w:t xml:space="preserve"> erg klein is bij eiwitten die sterk eiwitgebonden zijn, dan volgt hieruit dat de efficacy van een sterk eiwitgebonden geneesmiddel omgekeerd evenredig is met de plasmaconcentratie van het bindende eiwit, namelijk:</w:t>
      </w:r>
    </w:p>
    <w:p w:rsidR="009A3201" w:rsidRPr="009A3201" w:rsidRDefault="009A3201" w:rsidP="009A3201">
      <w:pPr>
        <w:spacing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γ=</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num>
            <m:den>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P</m:t>
                      </m:r>
                    </m:e>
                  </m:d>
                </m:e>
                <m:sub>
                  <m:r>
                    <w:rPr>
                      <w:rFonts w:ascii="Cambria Math" w:hAnsi="Cambria Math" w:cs="Times New Roman"/>
                      <w:sz w:val="24"/>
                      <w:szCs w:val="24"/>
                    </w:rPr>
                    <m:t>0,1</m:t>
                  </m:r>
                </m:sub>
              </m:sSub>
            </m:num>
            <m:den>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P</m:t>
                      </m:r>
                    </m:e>
                  </m:d>
                </m:e>
                <m:sub>
                  <m:r>
                    <w:rPr>
                      <w:rFonts w:ascii="Cambria Math" w:hAnsi="Cambria Math" w:cs="Times New Roman"/>
                      <w:sz w:val="24"/>
                      <w:szCs w:val="24"/>
                    </w:rPr>
                    <m:t>0,2</m:t>
                  </m:r>
                </m:sub>
              </m:sSub>
            </m:den>
          </m:f>
        </m:oMath>
      </m:oMathPara>
    </w:p>
    <w:p w:rsidR="00A76304" w:rsidRDefault="00A76304" w:rsidP="001165F4">
      <w:pPr>
        <w:spacing w:line="480" w:lineRule="auto"/>
        <w:jc w:val="both"/>
        <w:rPr>
          <w:rFonts w:ascii="Times New Roman" w:hAnsi="Times New Roman" w:cs="Times New Roman"/>
          <w:sz w:val="24"/>
          <w:szCs w:val="24"/>
        </w:rPr>
      </w:pPr>
    </w:p>
    <w:p w:rsidR="00A76304" w:rsidRPr="001165F4" w:rsidRDefault="00A76304" w:rsidP="001165F4">
      <w:pPr>
        <w:pStyle w:val="Lijstalinea"/>
        <w:numPr>
          <w:ilvl w:val="0"/>
          <w:numId w:val="1"/>
        </w:numPr>
        <w:spacing w:line="480" w:lineRule="auto"/>
        <w:jc w:val="both"/>
        <w:rPr>
          <w:rFonts w:ascii="Times New Roman" w:hAnsi="Times New Roman" w:cs="Times New Roman"/>
          <w:b/>
          <w:sz w:val="24"/>
          <w:szCs w:val="24"/>
          <w:u w:val="single"/>
        </w:rPr>
      </w:pPr>
      <w:r w:rsidRPr="001165F4">
        <w:rPr>
          <w:rFonts w:ascii="Times New Roman" w:hAnsi="Times New Roman" w:cs="Times New Roman"/>
          <w:b/>
          <w:sz w:val="24"/>
          <w:szCs w:val="24"/>
          <w:u w:val="single"/>
        </w:rPr>
        <w:lastRenderedPageBreak/>
        <w:t>Discussie</w:t>
      </w:r>
      <w:r w:rsidR="006D6E6E">
        <w:rPr>
          <w:rFonts w:ascii="Times New Roman" w:hAnsi="Times New Roman" w:cs="Times New Roman"/>
          <w:b/>
          <w:sz w:val="24"/>
          <w:szCs w:val="24"/>
          <w:u w:val="single"/>
        </w:rPr>
        <w:t xml:space="preserve"> en conclusie</w:t>
      </w:r>
    </w:p>
    <w:p w:rsidR="00A76304" w:rsidRDefault="00A76304" w:rsidP="00A7630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het bovenstaande werd een eenvoudige, klinisch toepasbare correctiefactor voor de relatieve </w:t>
      </w:r>
      <w:proofErr w:type="spellStart"/>
      <w:r>
        <w:rPr>
          <w:rFonts w:ascii="Times New Roman" w:hAnsi="Times New Roman" w:cs="Times New Roman"/>
          <w:sz w:val="24"/>
          <w:szCs w:val="24"/>
        </w:rPr>
        <w:t>efficacy</w:t>
      </w:r>
      <w:proofErr w:type="spellEnd"/>
      <w:r>
        <w:rPr>
          <w:rFonts w:ascii="Times New Roman" w:hAnsi="Times New Roman" w:cs="Times New Roman"/>
          <w:sz w:val="24"/>
          <w:szCs w:val="24"/>
        </w:rPr>
        <w:t xml:space="preserve"> van sterk eiwitgebonden (&gt;90%) geneesmiddelen afgeleid. </w:t>
      </w:r>
      <w:r w:rsidR="00505EEA">
        <w:rPr>
          <w:rFonts w:ascii="Times New Roman" w:hAnsi="Times New Roman" w:cs="Times New Roman"/>
          <w:sz w:val="24"/>
          <w:szCs w:val="24"/>
        </w:rPr>
        <w:t xml:space="preserve"> </w:t>
      </w:r>
      <w:r>
        <w:rPr>
          <w:rFonts w:ascii="Times New Roman" w:hAnsi="Times New Roman" w:cs="Times New Roman"/>
          <w:sz w:val="24"/>
          <w:szCs w:val="24"/>
        </w:rPr>
        <w:t>Op deze manier kan bij een patiënt waarbij –hetzij door ziekte, hetzij anderszins– een significante verandering in de plasma-eiwitconcentratie optreedt een beredeneerde inschatting worden gemaakt van hoe de werkzaamheid van een toegediend geneesmiddel zich naar verwachting verhoudt tot de oorspronkelijke situatie. Dit kan</w:t>
      </w:r>
      <w:r w:rsidR="002D2D6B">
        <w:rPr>
          <w:rFonts w:ascii="Times New Roman" w:hAnsi="Times New Roman" w:cs="Times New Roman"/>
          <w:sz w:val="24"/>
          <w:szCs w:val="24"/>
        </w:rPr>
        <w:t xml:space="preserve"> een</w:t>
      </w:r>
      <w:r>
        <w:rPr>
          <w:rFonts w:ascii="Times New Roman" w:hAnsi="Times New Roman" w:cs="Times New Roman"/>
          <w:sz w:val="24"/>
          <w:szCs w:val="24"/>
        </w:rPr>
        <w:t xml:space="preserve"> aanleiding </w:t>
      </w:r>
      <w:r w:rsidR="002D2D6B">
        <w:rPr>
          <w:rFonts w:ascii="Times New Roman" w:hAnsi="Times New Roman" w:cs="Times New Roman"/>
          <w:sz w:val="24"/>
          <w:szCs w:val="24"/>
        </w:rPr>
        <w:t xml:space="preserve">voor de clinicus </w:t>
      </w:r>
      <w:r>
        <w:rPr>
          <w:rFonts w:ascii="Times New Roman" w:hAnsi="Times New Roman" w:cs="Times New Roman"/>
          <w:sz w:val="24"/>
          <w:szCs w:val="24"/>
        </w:rPr>
        <w:t xml:space="preserve">zijn om de dosis van een voorgeschreven geneesmiddel aan te passen om </w:t>
      </w:r>
      <w:proofErr w:type="spellStart"/>
      <w:r>
        <w:rPr>
          <w:rFonts w:ascii="Times New Roman" w:hAnsi="Times New Roman" w:cs="Times New Roman"/>
          <w:sz w:val="24"/>
          <w:szCs w:val="24"/>
        </w:rPr>
        <w:t>onderdosering</w:t>
      </w:r>
      <w:proofErr w:type="spellEnd"/>
      <w:r>
        <w:rPr>
          <w:rFonts w:ascii="Times New Roman" w:hAnsi="Times New Roman" w:cs="Times New Roman"/>
          <w:sz w:val="24"/>
          <w:szCs w:val="24"/>
        </w:rPr>
        <w:t xml:space="preserve"> of toxiciteit te voorkomen. De wiskundige afleiding is gebaseerd op twee pijlers, namelijk de evenwichtsvoorwaarde voor een eenvoudige partiële dissociatie van een eiwit-geneesmiddelcomplex in de circulatie en een Michaelis-Menten-achtige concentratie-effectcurve voor het desbetreffende geneesmiddel. </w:t>
      </w:r>
    </w:p>
    <w:p w:rsidR="009A3201" w:rsidRDefault="00A76304" w:rsidP="00AC135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Omdat een exogeen geneesmiddel in een eindige, bekende dosis worden toegediend en niet door het lichaam zelf worden “aangevuld” bij een te lage vrije fractie in het plasma, zoals dat wel het geval is bij onder andere endogene hormonen en elektrolyten, is het onderstaande model enkel van toepassing op de </w:t>
      </w:r>
      <w:proofErr w:type="spellStart"/>
      <w:r>
        <w:rPr>
          <w:rFonts w:ascii="Times New Roman" w:hAnsi="Times New Roman" w:cs="Times New Roman"/>
          <w:sz w:val="24"/>
          <w:szCs w:val="24"/>
        </w:rPr>
        <w:t>efficacy</w:t>
      </w:r>
      <w:proofErr w:type="spellEnd"/>
      <w:r>
        <w:rPr>
          <w:rFonts w:ascii="Times New Roman" w:hAnsi="Times New Roman" w:cs="Times New Roman"/>
          <w:sz w:val="24"/>
          <w:szCs w:val="24"/>
        </w:rPr>
        <w:t xml:space="preserve"> van eiwitgebonden geneesmiddelen en niet toe te passen op eiwitgebonden hormonen en elektrolyten. Het lichaam streeft bij deze laatste stoffen immers naar homeostase en dus is de vrije fractie in de circulatie geen betrouwbare afspiegeling meer van veranderde eiwitbinding.</w:t>
      </w:r>
    </w:p>
    <w:p w:rsidR="00C42AB0" w:rsidRDefault="00C42AB0" w:rsidP="00AC1354">
      <w:pPr>
        <w:spacing w:line="480" w:lineRule="auto"/>
        <w:jc w:val="both"/>
        <w:rPr>
          <w:rFonts w:ascii="Times New Roman" w:hAnsi="Times New Roman" w:cs="Times New Roman"/>
          <w:sz w:val="24"/>
          <w:szCs w:val="24"/>
        </w:rPr>
      </w:pPr>
      <w:r>
        <w:rPr>
          <w:rFonts w:ascii="Times New Roman" w:hAnsi="Times New Roman" w:cs="Times New Roman"/>
          <w:sz w:val="24"/>
          <w:szCs w:val="24"/>
        </w:rPr>
        <w:t>Bij gene</w:t>
      </w:r>
      <w:r w:rsidR="006624FE">
        <w:rPr>
          <w:rFonts w:ascii="Times New Roman" w:hAnsi="Times New Roman" w:cs="Times New Roman"/>
          <w:sz w:val="24"/>
          <w:szCs w:val="24"/>
        </w:rPr>
        <w:t>esmiddelen zonder relevante</w:t>
      </w:r>
      <w:r>
        <w:rPr>
          <w:rFonts w:ascii="Times New Roman" w:hAnsi="Times New Roman" w:cs="Times New Roman"/>
          <w:sz w:val="24"/>
          <w:szCs w:val="24"/>
        </w:rPr>
        <w:t xml:space="preserve"> </w:t>
      </w:r>
      <w:r w:rsidR="006624FE">
        <w:rPr>
          <w:rFonts w:ascii="Times New Roman" w:hAnsi="Times New Roman" w:cs="Times New Roman"/>
          <w:sz w:val="24"/>
          <w:szCs w:val="24"/>
        </w:rPr>
        <w:t xml:space="preserve">mate van </w:t>
      </w:r>
      <w:r>
        <w:rPr>
          <w:rFonts w:ascii="Times New Roman" w:hAnsi="Times New Roman" w:cs="Times New Roman"/>
          <w:sz w:val="24"/>
          <w:szCs w:val="24"/>
        </w:rPr>
        <w:t xml:space="preserve">eiwitbinding zal een verandering in de plasma-albuminespiegel </w:t>
      </w:r>
      <w:r w:rsidR="006624FE">
        <w:rPr>
          <w:rFonts w:ascii="Times New Roman" w:hAnsi="Times New Roman" w:cs="Times New Roman"/>
          <w:sz w:val="24"/>
          <w:szCs w:val="24"/>
        </w:rPr>
        <w:t xml:space="preserve">vanzelfsprekend </w:t>
      </w:r>
      <w:r>
        <w:rPr>
          <w:rFonts w:ascii="Times New Roman" w:hAnsi="Times New Roman" w:cs="Times New Roman"/>
          <w:sz w:val="24"/>
          <w:szCs w:val="24"/>
        </w:rPr>
        <w:t xml:space="preserve">weinig tot geen </w:t>
      </w:r>
      <w:proofErr w:type="spellStart"/>
      <w:r>
        <w:rPr>
          <w:rFonts w:ascii="Times New Roman" w:hAnsi="Times New Roman" w:cs="Times New Roman"/>
          <w:sz w:val="24"/>
          <w:szCs w:val="24"/>
        </w:rPr>
        <w:t>farmacokinetische</w:t>
      </w:r>
      <w:proofErr w:type="spellEnd"/>
      <w:r>
        <w:rPr>
          <w:rFonts w:ascii="Times New Roman" w:hAnsi="Times New Roman" w:cs="Times New Roman"/>
          <w:sz w:val="24"/>
          <w:szCs w:val="24"/>
        </w:rPr>
        <w:t xml:space="preserve"> consequenties </w:t>
      </w:r>
      <w:r w:rsidR="006624FE">
        <w:rPr>
          <w:rFonts w:ascii="Times New Roman" w:hAnsi="Times New Roman" w:cs="Times New Roman"/>
          <w:sz w:val="24"/>
          <w:szCs w:val="24"/>
        </w:rPr>
        <w:t xml:space="preserve">hebben </w:t>
      </w:r>
      <w:r>
        <w:rPr>
          <w:rFonts w:ascii="Times New Roman" w:hAnsi="Times New Roman" w:cs="Times New Roman"/>
          <w:sz w:val="24"/>
          <w:szCs w:val="24"/>
        </w:rPr>
        <w:t xml:space="preserve">en dus geen </w:t>
      </w:r>
      <w:r w:rsidR="006624FE">
        <w:rPr>
          <w:rFonts w:ascii="Times New Roman" w:hAnsi="Times New Roman" w:cs="Times New Roman"/>
          <w:sz w:val="24"/>
          <w:szCs w:val="24"/>
        </w:rPr>
        <w:t>relevante gevolgen voor de werkzaamheid ervan</w:t>
      </w:r>
      <w:r>
        <w:rPr>
          <w:rFonts w:ascii="Times New Roman" w:hAnsi="Times New Roman" w:cs="Times New Roman"/>
          <w:sz w:val="24"/>
          <w:szCs w:val="24"/>
        </w:rPr>
        <w:t>. Pragmatisch werd hier</w:t>
      </w:r>
      <w:r w:rsidR="006624FE">
        <w:rPr>
          <w:rFonts w:ascii="Times New Roman" w:hAnsi="Times New Roman" w:cs="Times New Roman"/>
          <w:sz w:val="24"/>
          <w:szCs w:val="24"/>
        </w:rPr>
        <w:t xml:space="preserve"> gekozen</w:t>
      </w:r>
      <w:r>
        <w:rPr>
          <w:rFonts w:ascii="Times New Roman" w:hAnsi="Times New Roman" w:cs="Times New Roman"/>
          <w:sz w:val="24"/>
          <w:szCs w:val="24"/>
        </w:rPr>
        <w:t xml:space="preserve"> voor een afkapwaarde</w:t>
      </w:r>
      <w:r w:rsidR="006624FE">
        <w:rPr>
          <w:rFonts w:ascii="Times New Roman" w:hAnsi="Times New Roman" w:cs="Times New Roman"/>
          <w:sz w:val="24"/>
          <w:szCs w:val="24"/>
        </w:rPr>
        <w:t xml:space="preserve"> van &gt;90% eiwitbinding, maar hier kan over gediscussieerd worden.</w:t>
      </w:r>
      <w:r>
        <w:rPr>
          <w:rFonts w:ascii="Times New Roman" w:hAnsi="Times New Roman" w:cs="Times New Roman"/>
          <w:sz w:val="24"/>
          <w:szCs w:val="24"/>
        </w:rPr>
        <w:t xml:space="preserve"> </w:t>
      </w:r>
      <w:r w:rsidR="00914BD8">
        <w:rPr>
          <w:rFonts w:ascii="Times New Roman" w:hAnsi="Times New Roman" w:cs="Times New Roman"/>
          <w:sz w:val="24"/>
          <w:szCs w:val="24"/>
        </w:rPr>
        <w:t xml:space="preserve">Waarschijnlijk kan de correctiefactor ook al bij lagere mate van eiwitbinding een bruikbaar instrument zijn, zolang de aanname </w:t>
      </w:r>
      <m:oMath>
        <m:d>
          <m:dPr>
            <m:begChr m:val="["/>
            <m:endChr m:val="]"/>
            <m:ctrlPr>
              <w:rPr>
                <w:rFonts w:ascii="Cambria Math" w:hAnsi="Cambria Math" w:cs="Times New Roman"/>
                <w:i/>
                <w:sz w:val="24"/>
                <w:szCs w:val="24"/>
              </w:rPr>
            </m:ctrlPr>
          </m:dPr>
          <m:e>
            <m:r>
              <w:rPr>
                <w:rFonts w:ascii="Cambria Math" w:hAnsi="Cambria Math" w:cs="Times New Roman"/>
                <w:sz w:val="24"/>
                <w:szCs w:val="24"/>
              </w:rPr>
              <m:t>DP</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D</m:t>
            </m:r>
          </m:e>
        </m:d>
      </m:oMath>
      <w:r w:rsidR="00914BD8">
        <w:rPr>
          <w:rFonts w:ascii="Times New Roman" w:eastAsiaTheme="minorEastAsia" w:hAnsi="Times New Roman" w:cs="Times New Roman"/>
          <w:sz w:val="24"/>
          <w:szCs w:val="24"/>
        </w:rPr>
        <w:t xml:space="preserve"> (en dus: </w:t>
      </w:r>
      <m:oMath>
        <m:r>
          <w:rPr>
            <w:rFonts w:ascii="Cambria Math" w:hAnsi="Cambria Math" w:cs="Times New Roman"/>
            <w:sz w:val="24"/>
            <w:szCs w:val="24"/>
          </w:rPr>
          <m:t>1-α≈1</m:t>
        </m:r>
      </m:oMath>
      <w:r w:rsidR="00914BD8">
        <w:rPr>
          <w:rFonts w:ascii="Times New Roman" w:eastAsiaTheme="minorEastAsia" w:hAnsi="Times New Roman" w:cs="Times New Roman"/>
          <w:sz w:val="24"/>
          <w:szCs w:val="24"/>
        </w:rPr>
        <w:t>) geldig blijft.</w:t>
      </w:r>
    </w:p>
    <w:p w:rsidR="00A76304" w:rsidRDefault="00914BD8" w:rsidP="00A7630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In specifieke</w:t>
      </w:r>
      <w:r w:rsidR="00A76304">
        <w:rPr>
          <w:rFonts w:ascii="Times New Roman" w:hAnsi="Times New Roman" w:cs="Times New Roman"/>
          <w:sz w:val="24"/>
          <w:szCs w:val="24"/>
        </w:rPr>
        <w:t xml:space="preserve"> gevallen heeft een geneesmiddel de plasma-eiwitten juist nodig om op plaats van bestemming te komen, zoals geldt voor onder andere het diureticum furosemide. In dat geval is het te kort door de bocht om te stellen dat het effect van het geneesmiddel correleert met de vrije (niet-eiwitgebonden) fractie</w:t>
      </w:r>
      <w:r w:rsidR="002D2D6B">
        <w:rPr>
          <w:rFonts w:ascii="Times New Roman" w:hAnsi="Times New Roman" w:cs="Times New Roman"/>
          <w:sz w:val="24"/>
          <w:szCs w:val="24"/>
        </w:rPr>
        <w:t xml:space="preserve"> en gaat het gepresenteerde model niet op</w:t>
      </w:r>
      <w:r w:rsidR="00A76304">
        <w:rPr>
          <w:rFonts w:ascii="Times New Roman" w:hAnsi="Times New Roman" w:cs="Times New Roman"/>
          <w:sz w:val="24"/>
          <w:szCs w:val="24"/>
        </w:rPr>
        <w:t>. Dit betreft echter een zeer klein aantal geneesmiddelen. Voor het leeuwendeel van de geneesmiddelen mag –</w:t>
      </w:r>
      <w:proofErr w:type="spellStart"/>
      <w:r w:rsidR="00A76304" w:rsidRPr="007447B7">
        <w:rPr>
          <w:rFonts w:ascii="Times New Roman" w:hAnsi="Times New Roman" w:cs="Times New Roman"/>
          <w:i/>
          <w:sz w:val="24"/>
          <w:szCs w:val="24"/>
        </w:rPr>
        <w:t>argumenti</w:t>
      </w:r>
      <w:proofErr w:type="spellEnd"/>
      <w:r w:rsidR="00A76304" w:rsidRPr="007447B7">
        <w:rPr>
          <w:rFonts w:ascii="Times New Roman" w:hAnsi="Times New Roman" w:cs="Times New Roman"/>
          <w:i/>
          <w:sz w:val="24"/>
          <w:szCs w:val="24"/>
        </w:rPr>
        <w:t xml:space="preserve"> </w:t>
      </w:r>
      <w:proofErr w:type="spellStart"/>
      <w:r w:rsidR="00A76304" w:rsidRPr="007447B7">
        <w:rPr>
          <w:rFonts w:ascii="Times New Roman" w:hAnsi="Times New Roman" w:cs="Times New Roman"/>
          <w:i/>
          <w:sz w:val="24"/>
          <w:szCs w:val="24"/>
        </w:rPr>
        <w:t>causa</w:t>
      </w:r>
      <w:proofErr w:type="spellEnd"/>
      <w:r w:rsidR="00A76304">
        <w:rPr>
          <w:rFonts w:ascii="Times New Roman" w:hAnsi="Times New Roman" w:cs="Times New Roman"/>
          <w:sz w:val="24"/>
          <w:szCs w:val="24"/>
        </w:rPr>
        <w:t>– aangenomen worden dat het effect van een geneesmiddel correleert met de vrije fractie in het plasma en dat enkel de vrije geneesmiddelfractie farmacologisch actief is. Verder wordt aangenomen dat het bindende eiwit ten opzichte van het geneesmiddel altijd in ruime overmaat aanwezig is</w:t>
      </w:r>
      <w:r w:rsidR="00A2280D">
        <w:rPr>
          <w:rFonts w:ascii="Times New Roman" w:hAnsi="Times New Roman" w:cs="Times New Roman"/>
          <w:sz w:val="24"/>
          <w:szCs w:val="24"/>
        </w:rPr>
        <w:t xml:space="preserve"> in de circulatie, hetgeen </w:t>
      </w:r>
      <w:r w:rsidR="00A76304">
        <w:rPr>
          <w:rFonts w:ascii="Times New Roman" w:hAnsi="Times New Roman" w:cs="Times New Roman"/>
          <w:sz w:val="24"/>
          <w:szCs w:val="24"/>
        </w:rPr>
        <w:t>redelijk is aangezien de fysiologische plasmaconcentrati</w:t>
      </w:r>
      <w:r w:rsidR="00A2280D">
        <w:rPr>
          <w:rFonts w:ascii="Times New Roman" w:hAnsi="Times New Roman" w:cs="Times New Roman"/>
          <w:sz w:val="24"/>
          <w:szCs w:val="24"/>
        </w:rPr>
        <w:t>e van alleen al albumine</w:t>
      </w:r>
      <w:r w:rsidR="00A76304">
        <w:rPr>
          <w:rFonts w:ascii="Times New Roman" w:hAnsi="Times New Roman" w:cs="Times New Roman"/>
          <w:sz w:val="24"/>
          <w:szCs w:val="24"/>
        </w:rPr>
        <w:t xml:space="preserve"> 40 g/L bedraagt versus geneesmiddelspiegels die doorgaans gemeten worden in mg/L, µg/L of zelfs pg/L. Het model laat afwijkingen in de geneesmiddelenklaring (zoals bij nefrotisch syndroom of cirrose</w:t>
      </w:r>
      <w:r w:rsidR="00A2280D">
        <w:rPr>
          <w:rFonts w:ascii="Times New Roman" w:hAnsi="Times New Roman" w:cs="Times New Roman"/>
          <w:sz w:val="24"/>
          <w:szCs w:val="24"/>
        </w:rPr>
        <w:t xml:space="preserve"> kunnen voorkomen</w:t>
      </w:r>
      <w:r w:rsidR="00A76304">
        <w:rPr>
          <w:rFonts w:ascii="Times New Roman" w:hAnsi="Times New Roman" w:cs="Times New Roman"/>
          <w:sz w:val="24"/>
          <w:szCs w:val="24"/>
        </w:rPr>
        <w:t>), de kwaliteit van geneesmiddel-eiwitbi</w:t>
      </w:r>
      <w:r w:rsidR="00A2280D">
        <w:rPr>
          <w:rFonts w:ascii="Times New Roman" w:hAnsi="Times New Roman" w:cs="Times New Roman"/>
          <w:sz w:val="24"/>
          <w:szCs w:val="24"/>
        </w:rPr>
        <w:t>nding (zoals bijvoorbeeld bij</w:t>
      </w:r>
      <w:r w:rsidR="00A76304">
        <w:rPr>
          <w:rFonts w:ascii="Times New Roman" w:hAnsi="Times New Roman" w:cs="Times New Roman"/>
          <w:sz w:val="24"/>
          <w:szCs w:val="24"/>
        </w:rPr>
        <w:t xml:space="preserve"> aanwezigheid van </w:t>
      </w:r>
      <w:proofErr w:type="spellStart"/>
      <w:r w:rsidR="00A76304">
        <w:rPr>
          <w:rFonts w:ascii="Times New Roman" w:hAnsi="Times New Roman" w:cs="Times New Roman"/>
          <w:sz w:val="24"/>
          <w:szCs w:val="24"/>
        </w:rPr>
        <w:t>uremische</w:t>
      </w:r>
      <w:proofErr w:type="spellEnd"/>
      <w:r w:rsidR="00A76304">
        <w:rPr>
          <w:rFonts w:ascii="Times New Roman" w:hAnsi="Times New Roman" w:cs="Times New Roman"/>
          <w:sz w:val="24"/>
          <w:szCs w:val="24"/>
        </w:rPr>
        <w:t xml:space="preserve"> toxines verminderd is) en het verdelingsvolume (zoals bij extreme </w:t>
      </w:r>
      <w:proofErr w:type="spellStart"/>
      <w:r w:rsidR="00A76304">
        <w:rPr>
          <w:rFonts w:ascii="Times New Roman" w:hAnsi="Times New Roman" w:cs="Times New Roman"/>
          <w:sz w:val="24"/>
          <w:szCs w:val="24"/>
        </w:rPr>
        <w:t>hypoalbuminemie</w:t>
      </w:r>
      <w:proofErr w:type="spellEnd"/>
      <w:r w:rsidR="00A76304">
        <w:rPr>
          <w:rFonts w:ascii="Times New Roman" w:hAnsi="Times New Roman" w:cs="Times New Roman"/>
          <w:sz w:val="24"/>
          <w:szCs w:val="24"/>
        </w:rPr>
        <w:t xml:space="preserve"> bijvoorbeeld kan veranderen) buiten beschouwing en gaat uit van een verder fysiologische situatie, waarin een verandering van de plasma-eiwitspiegel de relevante variabele is en de totale hoeveelheid geneesmiddel in het lichaam in beide situatie gelijk is.</w:t>
      </w:r>
    </w:p>
    <w:p w:rsidR="004A5520" w:rsidRDefault="00A2280D" w:rsidP="00AC135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Beschouw de </w:t>
      </w:r>
      <w:r w:rsidR="00914BD8">
        <w:rPr>
          <w:rFonts w:ascii="Times New Roman" w:hAnsi="Times New Roman" w:cs="Times New Roman"/>
          <w:sz w:val="24"/>
          <w:szCs w:val="24"/>
        </w:rPr>
        <w:t>volgende hypothetische patiënt</w:t>
      </w:r>
      <w:r>
        <w:rPr>
          <w:rFonts w:ascii="Times New Roman" w:hAnsi="Times New Roman" w:cs="Times New Roman"/>
          <w:sz w:val="24"/>
          <w:szCs w:val="24"/>
        </w:rPr>
        <w:t>casus</w:t>
      </w:r>
      <w:r w:rsidR="00C42AB0">
        <w:rPr>
          <w:rFonts w:ascii="Times New Roman" w:hAnsi="Times New Roman" w:cs="Times New Roman"/>
          <w:sz w:val="24"/>
          <w:szCs w:val="24"/>
        </w:rPr>
        <w:t xml:space="preserve">. </w:t>
      </w:r>
      <w:r w:rsidR="003D36FC">
        <w:rPr>
          <w:rFonts w:ascii="Times New Roman" w:hAnsi="Times New Roman" w:cs="Times New Roman"/>
          <w:sz w:val="24"/>
          <w:szCs w:val="24"/>
        </w:rPr>
        <w:t>Stel dat een 78-jarige</w:t>
      </w:r>
      <w:r>
        <w:rPr>
          <w:rFonts w:ascii="Times New Roman" w:hAnsi="Times New Roman" w:cs="Times New Roman"/>
          <w:sz w:val="24"/>
          <w:szCs w:val="24"/>
        </w:rPr>
        <w:t xml:space="preserve"> vrouw</w:t>
      </w:r>
      <w:r w:rsidR="003D36FC">
        <w:rPr>
          <w:rFonts w:ascii="Times New Roman" w:hAnsi="Times New Roman" w:cs="Times New Roman"/>
          <w:sz w:val="24"/>
          <w:szCs w:val="24"/>
        </w:rPr>
        <w:t xml:space="preserve"> wordt opgenomen via de Spoedeisende </w:t>
      </w:r>
      <w:r>
        <w:rPr>
          <w:rFonts w:ascii="Times New Roman" w:hAnsi="Times New Roman" w:cs="Times New Roman"/>
          <w:sz w:val="24"/>
          <w:szCs w:val="24"/>
        </w:rPr>
        <w:t>Hulp</w:t>
      </w:r>
      <w:r w:rsidR="003D36FC">
        <w:rPr>
          <w:rFonts w:ascii="Times New Roman" w:hAnsi="Times New Roman" w:cs="Times New Roman"/>
          <w:sz w:val="24"/>
          <w:szCs w:val="24"/>
        </w:rPr>
        <w:t xml:space="preserve"> in verband met hoge koorts en algehele malaise. Haar </w:t>
      </w:r>
      <w:r>
        <w:rPr>
          <w:rFonts w:ascii="Times New Roman" w:hAnsi="Times New Roman" w:cs="Times New Roman"/>
          <w:sz w:val="24"/>
          <w:szCs w:val="24"/>
        </w:rPr>
        <w:t xml:space="preserve">medische </w:t>
      </w:r>
      <w:r w:rsidR="003D36FC">
        <w:rPr>
          <w:rFonts w:ascii="Times New Roman" w:hAnsi="Times New Roman" w:cs="Times New Roman"/>
          <w:sz w:val="24"/>
          <w:szCs w:val="24"/>
        </w:rPr>
        <w:t xml:space="preserve">voorgeschiedenis vermeldt </w:t>
      </w:r>
      <w:proofErr w:type="spellStart"/>
      <w:r w:rsidR="003D36FC">
        <w:rPr>
          <w:rFonts w:ascii="Times New Roman" w:hAnsi="Times New Roman" w:cs="Times New Roman"/>
          <w:sz w:val="24"/>
          <w:szCs w:val="24"/>
        </w:rPr>
        <w:t>valvulair</w:t>
      </w:r>
      <w:proofErr w:type="spellEnd"/>
      <w:r w:rsidR="003D36FC">
        <w:rPr>
          <w:rFonts w:ascii="Times New Roman" w:hAnsi="Times New Roman" w:cs="Times New Roman"/>
          <w:sz w:val="24"/>
          <w:szCs w:val="24"/>
        </w:rPr>
        <w:t xml:space="preserve"> atriumfibrilleren, waarvoor zij acenocoumarol (gerapporteerde plasma-eiwitbinding: 99%) gebruikt. </w:t>
      </w:r>
      <w:r w:rsidR="004A5520">
        <w:rPr>
          <w:rFonts w:ascii="Times New Roman" w:hAnsi="Times New Roman" w:cs="Times New Roman"/>
          <w:sz w:val="24"/>
          <w:szCs w:val="24"/>
        </w:rPr>
        <w:t xml:space="preserve">In afwachting van de uitslagen </w:t>
      </w:r>
      <w:r w:rsidR="003D36FC">
        <w:rPr>
          <w:rFonts w:ascii="Times New Roman" w:hAnsi="Times New Roman" w:cs="Times New Roman"/>
          <w:sz w:val="24"/>
          <w:szCs w:val="24"/>
        </w:rPr>
        <w:t xml:space="preserve">van de ingezette microbiologische </w:t>
      </w:r>
      <w:r w:rsidR="004A5520">
        <w:rPr>
          <w:rFonts w:ascii="Times New Roman" w:hAnsi="Times New Roman" w:cs="Times New Roman"/>
          <w:sz w:val="24"/>
          <w:szCs w:val="24"/>
        </w:rPr>
        <w:t xml:space="preserve">kweken wordt empirisch gestart met intraveneus ceftriaxon, een </w:t>
      </w:r>
      <w:proofErr w:type="spellStart"/>
      <w:r w:rsidR="004A5520">
        <w:rPr>
          <w:rFonts w:ascii="Times New Roman" w:hAnsi="Times New Roman" w:cs="Times New Roman"/>
          <w:sz w:val="24"/>
          <w:szCs w:val="24"/>
        </w:rPr>
        <w:t>derdegeneratiece</w:t>
      </w:r>
      <w:r w:rsidR="003D36FC">
        <w:rPr>
          <w:rFonts w:ascii="Times New Roman" w:hAnsi="Times New Roman" w:cs="Times New Roman"/>
          <w:sz w:val="24"/>
          <w:szCs w:val="24"/>
        </w:rPr>
        <w:t>falosporine</w:t>
      </w:r>
      <w:proofErr w:type="spellEnd"/>
      <w:r w:rsidR="003D36FC">
        <w:rPr>
          <w:rFonts w:ascii="Times New Roman" w:hAnsi="Times New Roman" w:cs="Times New Roman"/>
          <w:sz w:val="24"/>
          <w:szCs w:val="24"/>
        </w:rPr>
        <w:t xml:space="preserve"> (</w:t>
      </w:r>
      <w:r w:rsidR="004A5520">
        <w:rPr>
          <w:rFonts w:ascii="Times New Roman" w:hAnsi="Times New Roman" w:cs="Times New Roman"/>
          <w:sz w:val="24"/>
          <w:szCs w:val="24"/>
        </w:rPr>
        <w:t>gerapport</w:t>
      </w:r>
      <w:r w:rsidR="002D2D6B">
        <w:rPr>
          <w:rFonts w:ascii="Times New Roman" w:hAnsi="Times New Roman" w:cs="Times New Roman"/>
          <w:sz w:val="24"/>
          <w:szCs w:val="24"/>
        </w:rPr>
        <w:t>eerde plasma-eiwitbinding</w:t>
      </w:r>
      <w:r w:rsidR="003D36FC">
        <w:rPr>
          <w:rFonts w:ascii="Times New Roman" w:hAnsi="Times New Roman" w:cs="Times New Roman"/>
          <w:sz w:val="24"/>
          <w:szCs w:val="24"/>
        </w:rPr>
        <w:t>:</w:t>
      </w:r>
      <w:r w:rsidR="002D2D6B">
        <w:rPr>
          <w:rFonts w:ascii="Times New Roman" w:hAnsi="Times New Roman" w:cs="Times New Roman"/>
          <w:sz w:val="24"/>
          <w:szCs w:val="24"/>
        </w:rPr>
        <w:t xml:space="preserve"> 90</w:t>
      </w:r>
      <w:r w:rsidR="004A5520">
        <w:rPr>
          <w:rFonts w:ascii="Times New Roman" w:hAnsi="Times New Roman" w:cs="Times New Roman"/>
          <w:sz w:val="24"/>
          <w:szCs w:val="24"/>
        </w:rPr>
        <w:t>% tot 95%</w:t>
      </w:r>
      <w:r w:rsidR="003D36FC">
        <w:rPr>
          <w:rFonts w:ascii="Times New Roman" w:hAnsi="Times New Roman" w:cs="Times New Roman"/>
          <w:sz w:val="24"/>
          <w:szCs w:val="24"/>
        </w:rPr>
        <w:t>).</w:t>
      </w:r>
      <w:r w:rsidR="004A5520">
        <w:rPr>
          <w:rFonts w:ascii="Times New Roman" w:hAnsi="Times New Roman" w:cs="Times New Roman"/>
          <w:sz w:val="24"/>
          <w:szCs w:val="24"/>
        </w:rPr>
        <w:t xml:space="preserve"> </w:t>
      </w:r>
      <w:r w:rsidR="003D36FC">
        <w:rPr>
          <w:rFonts w:ascii="Times New Roman" w:hAnsi="Times New Roman" w:cs="Times New Roman"/>
          <w:sz w:val="24"/>
          <w:szCs w:val="24"/>
        </w:rPr>
        <w:t>Haar</w:t>
      </w:r>
      <w:r w:rsidR="004A5520">
        <w:rPr>
          <w:rFonts w:ascii="Times New Roman" w:hAnsi="Times New Roman" w:cs="Times New Roman"/>
          <w:sz w:val="24"/>
          <w:szCs w:val="24"/>
        </w:rPr>
        <w:t xml:space="preserve"> plasma-albuminespi</w:t>
      </w:r>
      <w:r w:rsidR="003D36FC">
        <w:rPr>
          <w:rFonts w:ascii="Times New Roman" w:hAnsi="Times New Roman" w:cs="Times New Roman"/>
          <w:sz w:val="24"/>
          <w:szCs w:val="24"/>
        </w:rPr>
        <w:t>egel bedraagt bij binnenkomst 36</w:t>
      </w:r>
      <w:r>
        <w:rPr>
          <w:rFonts w:ascii="Times New Roman" w:hAnsi="Times New Roman" w:cs="Times New Roman"/>
          <w:sz w:val="24"/>
          <w:szCs w:val="24"/>
        </w:rPr>
        <w:t xml:space="preserve"> g/L. Na kortdurende</w:t>
      </w:r>
      <w:r w:rsidR="004A5520">
        <w:rPr>
          <w:rFonts w:ascii="Times New Roman" w:hAnsi="Times New Roman" w:cs="Times New Roman"/>
          <w:sz w:val="24"/>
          <w:szCs w:val="24"/>
        </w:rPr>
        <w:t xml:space="preserve"> volumeresuscitatie</w:t>
      </w:r>
      <w:r w:rsidR="00914BD8">
        <w:rPr>
          <w:rFonts w:ascii="Times New Roman" w:hAnsi="Times New Roman" w:cs="Times New Roman"/>
          <w:sz w:val="24"/>
          <w:szCs w:val="24"/>
        </w:rPr>
        <w:t xml:space="preserve"> op de Spoedeisende Hulp</w:t>
      </w:r>
      <w:r w:rsidR="004A5520">
        <w:rPr>
          <w:rFonts w:ascii="Times New Roman" w:hAnsi="Times New Roman" w:cs="Times New Roman"/>
          <w:sz w:val="24"/>
          <w:szCs w:val="24"/>
        </w:rPr>
        <w:t xml:space="preserve"> wordt geoordeeld </w:t>
      </w:r>
      <w:r w:rsidR="00914BD8">
        <w:rPr>
          <w:rFonts w:ascii="Times New Roman" w:hAnsi="Times New Roman" w:cs="Times New Roman"/>
          <w:sz w:val="24"/>
          <w:szCs w:val="24"/>
        </w:rPr>
        <w:t xml:space="preserve">door de arts </w:t>
      </w:r>
      <w:r w:rsidR="004A5520">
        <w:rPr>
          <w:rFonts w:ascii="Times New Roman" w:hAnsi="Times New Roman" w:cs="Times New Roman"/>
          <w:sz w:val="24"/>
          <w:szCs w:val="24"/>
        </w:rPr>
        <w:t>dat patiënt</w:t>
      </w:r>
      <w:r>
        <w:rPr>
          <w:rFonts w:ascii="Times New Roman" w:hAnsi="Times New Roman" w:cs="Times New Roman"/>
          <w:sz w:val="24"/>
          <w:szCs w:val="24"/>
        </w:rPr>
        <w:t>e</w:t>
      </w:r>
      <w:r w:rsidR="00914BD8">
        <w:rPr>
          <w:rFonts w:ascii="Times New Roman" w:hAnsi="Times New Roman" w:cs="Times New Roman"/>
          <w:sz w:val="24"/>
          <w:szCs w:val="24"/>
        </w:rPr>
        <w:t xml:space="preserve"> nu</w:t>
      </w:r>
      <w:r w:rsidR="004A5520">
        <w:rPr>
          <w:rFonts w:ascii="Times New Roman" w:hAnsi="Times New Roman" w:cs="Times New Roman"/>
          <w:sz w:val="24"/>
          <w:szCs w:val="24"/>
        </w:rPr>
        <w:t xml:space="preserve"> geen infuus nodig heeft </w:t>
      </w:r>
      <w:r w:rsidR="004A5520">
        <w:rPr>
          <w:rFonts w:ascii="Times New Roman" w:hAnsi="Times New Roman" w:cs="Times New Roman"/>
          <w:sz w:val="24"/>
          <w:szCs w:val="24"/>
        </w:rPr>
        <w:lastRenderedPageBreak/>
        <w:t>en</w:t>
      </w:r>
      <w:r>
        <w:rPr>
          <w:rFonts w:ascii="Times New Roman" w:hAnsi="Times New Roman" w:cs="Times New Roman"/>
          <w:sz w:val="24"/>
          <w:szCs w:val="24"/>
        </w:rPr>
        <w:t xml:space="preserve"> dat</w:t>
      </w:r>
      <w:r w:rsidR="00914BD8">
        <w:rPr>
          <w:rFonts w:ascii="Times New Roman" w:hAnsi="Times New Roman" w:cs="Times New Roman"/>
          <w:sz w:val="24"/>
          <w:szCs w:val="24"/>
        </w:rPr>
        <w:t xml:space="preserve"> haar</w:t>
      </w:r>
      <w:r w:rsidR="004A5520">
        <w:rPr>
          <w:rFonts w:ascii="Times New Roman" w:hAnsi="Times New Roman" w:cs="Times New Roman"/>
          <w:sz w:val="24"/>
          <w:szCs w:val="24"/>
        </w:rPr>
        <w:t xml:space="preserve"> eigen intake voldoende is. Patiënt</w:t>
      </w:r>
      <w:r w:rsidR="003D36FC">
        <w:rPr>
          <w:rFonts w:ascii="Times New Roman" w:hAnsi="Times New Roman" w:cs="Times New Roman"/>
          <w:sz w:val="24"/>
          <w:szCs w:val="24"/>
        </w:rPr>
        <w:t>e</w:t>
      </w:r>
      <w:r w:rsidR="004A5520">
        <w:rPr>
          <w:rFonts w:ascii="Times New Roman" w:hAnsi="Times New Roman" w:cs="Times New Roman"/>
          <w:sz w:val="24"/>
          <w:szCs w:val="24"/>
        </w:rPr>
        <w:t xml:space="preserve"> wordt echter delirant</w:t>
      </w:r>
      <w:r w:rsidR="003D36FC">
        <w:rPr>
          <w:rFonts w:ascii="Times New Roman" w:hAnsi="Times New Roman" w:cs="Times New Roman"/>
          <w:sz w:val="24"/>
          <w:szCs w:val="24"/>
        </w:rPr>
        <w:t xml:space="preserve"> in de loop van de nacht en haar</w:t>
      </w:r>
      <w:r w:rsidR="004A5520">
        <w:rPr>
          <w:rFonts w:ascii="Times New Roman" w:hAnsi="Times New Roman" w:cs="Times New Roman"/>
          <w:sz w:val="24"/>
          <w:szCs w:val="24"/>
        </w:rPr>
        <w:t xml:space="preserve"> dorstprikkel is inadequaat. </w:t>
      </w:r>
      <w:r w:rsidR="003D36FC">
        <w:rPr>
          <w:rFonts w:ascii="Times New Roman" w:hAnsi="Times New Roman" w:cs="Times New Roman"/>
          <w:sz w:val="24"/>
          <w:szCs w:val="24"/>
        </w:rPr>
        <w:t>Haar</w:t>
      </w:r>
      <w:r>
        <w:rPr>
          <w:rFonts w:ascii="Times New Roman" w:hAnsi="Times New Roman" w:cs="Times New Roman"/>
          <w:sz w:val="24"/>
          <w:szCs w:val="24"/>
        </w:rPr>
        <w:t xml:space="preserve"> bloeddruk is</w:t>
      </w:r>
      <w:r w:rsidR="002D2D6B">
        <w:rPr>
          <w:rFonts w:ascii="Times New Roman" w:hAnsi="Times New Roman" w:cs="Times New Roman"/>
          <w:sz w:val="24"/>
          <w:szCs w:val="24"/>
        </w:rPr>
        <w:t xml:space="preserve"> </w:t>
      </w:r>
      <w:r w:rsidR="00703413">
        <w:rPr>
          <w:rFonts w:ascii="Times New Roman" w:hAnsi="Times New Roman" w:cs="Times New Roman"/>
          <w:sz w:val="24"/>
          <w:szCs w:val="24"/>
        </w:rPr>
        <w:t xml:space="preserve">krap. </w:t>
      </w:r>
      <w:r w:rsidR="004A5520">
        <w:rPr>
          <w:rFonts w:ascii="Times New Roman" w:hAnsi="Times New Roman" w:cs="Times New Roman"/>
          <w:sz w:val="24"/>
          <w:szCs w:val="24"/>
        </w:rPr>
        <w:t xml:space="preserve">Bij bloedcontrole twee dagen later blijkt </w:t>
      </w:r>
      <w:r w:rsidR="002D2D6B">
        <w:rPr>
          <w:rFonts w:ascii="Times New Roman" w:hAnsi="Times New Roman" w:cs="Times New Roman"/>
          <w:sz w:val="24"/>
          <w:szCs w:val="24"/>
        </w:rPr>
        <w:t>er enige hemoconcent</w:t>
      </w:r>
      <w:r w:rsidR="00914BD8">
        <w:rPr>
          <w:rFonts w:ascii="Times New Roman" w:hAnsi="Times New Roman" w:cs="Times New Roman"/>
          <w:sz w:val="24"/>
          <w:szCs w:val="24"/>
        </w:rPr>
        <w:t>ratie te zijn ontstaan</w:t>
      </w:r>
      <w:r w:rsidR="002D2D6B">
        <w:rPr>
          <w:rFonts w:ascii="Times New Roman" w:hAnsi="Times New Roman" w:cs="Times New Roman"/>
          <w:sz w:val="24"/>
          <w:szCs w:val="24"/>
        </w:rPr>
        <w:t xml:space="preserve"> en is </w:t>
      </w:r>
      <w:r w:rsidR="003D36FC">
        <w:rPr>
          <w:rFonts w:ascii="Times New Roman" w:hAnsi="Times New Roman" w:cs="Times New Roman"/>
          <w:sz w:val="24"/>
          <w:szCs w:val="24"/>
        </w:rPr>
        <w:t>haar</w:t>
      </w:r>
      <w:r w:rsidR="004A5520">
        <w:rPr>
          <w:rFonts w:ascii="Times New Roman" w:hAnsi="Times New Roman" w:cs="Times New Roman"/>
          <w:sz w:val="24"/>
          <w:szCs w:val="24"/>
        </w:rPr>
        <w:t xml:space="preserve"> plasma-album</w:t>
      </w:r>
      <w:r w:rsidR="003D36FC">
        <w:rPr>
          <w:rFonts w:ascii="Times New Roman" w:hAnsi="Times New Roman" w:cs="Times New Roman"/>
          <w:sz w:val="24"/>
          <w:szCs w:val="24"/>
        </w:rPr>
        <w:t>ineconcentratie gestegen</w:t>
      </w:r>
      <w:r w:rsidR="004A5520">
        <w:rPr>
          <w:rFonts w:ascii="Times New Roman" w:hAnsi="Times New Roman" w:cs="Times New Roman"/>
          <w:sz w:val="24"/>
          <w:szCs w:val="24"/>
        </w:rPr>
        <w:t xml:space="preserve"> tot</w:t>
      </w:r>
      <w:r w:rsidR="003D36FC">
        <w:rPr>
          <w:rFonts w:ascii="Times New Roman" w:hAnsi="Times New Roman" w:cs="Times New Roman"/>
          <w:sz w:val="24"/>
          <w:szCs w:val="24"/>
        </w:rPr>
        <w:t xml:space="preserve"> 45</w:t>
      </w:r>
      <w:r w:rsidR="004A5520">
        <w:rPr>
          <w:rFonts w:ascii="Times New Roman" w:hAnsi="Times New Roman" w:cs="Times New Roman"/>
          <w:sz w:val="24"/>
          <w:szCs w:val="24"/>
        </w:rPr>
        <w:t xml:space="preserve"> g/L. Volgens de hier gepresenteerde correctiefactor, betekent dit voo</w:t>
      </w:r>
      <w:r w:rsidR="003D36FC">
        <w:rPr>
          <w:rFonts w:ascii="Times New Roman" w:hAnsi="Times New Roman" w:cs="Times New Roman"/>
          <w:sz w:val="24"/>
          <w:szCs w:val="24"/>
        </w:rPr>
        <w:t xml:space="preserve">r de relatieve </w:t>
      </w:r>
      <w:proofErr w:type="spellStart"/>
      <w:r w:rsidR="003D36FC">
        <w:rPr>
          <w:rFonts w:ascii="Times New Roman" w:hAnsi="Times New Roman" w:cs="Times New Roman"/>
          <w:sz w:val="24"/>
          <w:szCs w:val="24"/>
        </w:rPr>
        <w:t>efficacy</w:t>
      </w:r>
      <w:proofErr w:type="spellEnd"/>
      <w:r w:rsidR="003D36FC">
        <w:rPr>
          <w:rFonts w:ascii="Times New Roman" w:hAnsi="Times New Roman" w:cs="Times New Roman"/>
          <w:sz w:val="24"/>
          <w:szCs w:val="24"/>
        </w:rPr>
        <w:t xml:space="preserve"> van haar</w:t>
      </w:r>
      <w:r>
        <w:rPr>
          <w:rFonts w:ascii="Times New Roman" w:hAnsi="Times New Roman" w:cs="Times New Roman"/>
          <w:sz w:val="24"/>
          <w:szCs w:val="24"/>
        </w:rPr>
        <w:t xml:space="preserve"> ceftriaxon</w:t>
      </w:r>
      <w:r w:rsidR="004A5520">
        <w:rPr>
          <w:rFonts w:ascii="Times New Roman" w:hAnsi="Times New Roman" w:cs="Times New Roman"/>
          <w:sz w:val="24"/>
          <w:szCs w:val="24"/>
        </w:rPr>
        <w:t>:</w:t>
      </w:r>
    </w:p>
    <w:p w:rsidR="004A5520" w:rsidRPr="004A5520" w:rsidRDefault="004A5520" w:rsidP="004A5520">
      <w:pPr>
        <w:spacing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γ=</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num>
            <m:den>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P</m:t>
                      </m:r>
                    </m:e>
                  </m:d>
                </m:e>
                <m:sub>
                  <m:r>
                    <w:rPr>
                      <w:rFonts w:ascii="Cambria Math" w:hAnsi="Cambria Math" w:cs="Times New Roman"/>
                      <w:sz w:val="24"/>
                      <w:szCs w:val="24"/>
                    </w:rPr>
                    <m:t>0,1</m:t>
                  </m:r>
                </m:sub>
              </m:sSub>
            </m:num>
            <m:den>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P</m:t>
                      </m:r>
                    </m:e>
                  </m:d>
                </m:e>
                <m:sub>
                  <m:r>
                    <w:rPr>
                      <w:rFonts w:ascii="Cambria Math" w:hAnsi="Cambria Math" w:cs="Times New Roman"/>
                      <w:sz w:val="24"/>
                      <w:szCs w:val="24"/>
                    </w:rPr>
                    <m:t>0,2</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36 g/L</m:t>
              </m:r>
            </m:num>
            <m:den>
              <m:r>
                <w:rPr>
                  <w:rFonts w:ascii="Cambria Math" w:eastAsiaTheme="minorEastAsia" w:hAnsi="Cambria Math" w:cs="Times New Roman"/>
                  <w:sz w:val="24"/>
                  <w:szCs w:val="24"/>
                </w:rPr>
                <m:t>45 g/L</m:t>
              </m:r>
            </m:den>
          </m:f>
          <m:r>
            <w:rPr>
              <w:rFonts w:ascii="Cambria Math" w:eastAsiaTheme="minorEastAsia" w:hAnsi="Cambria Math" w:cs="Times New Roman"/>
              <w:sz w:val="24"/>
              <w:szCs w:val="24"/>
            </w:rPr>
            <m:t>=0.80</m:t>
          </m:r>
        </m:oMath>
      </m:oMathPara>
    </w:p>
    <w:p w:rsidR="00A2280D" w:rsidRDefault="004A5520" w:rsidP="004A5520">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Met a</w:t>
      </w:r>
      <w:r w:rsidR="003D36FC">
        <w:rPr>
          <w:rFonts w:ascii="Times New Roman" w:eastAsiaTheme="minorEastAsia" w:hAnsi="Times New Roman" w:cs="Times New Roman"/>
          <w:sz w:val="24"/>
          <w:szCs w:val="24"/>
        </w:rPr>
        <w:t xml:space="preserve">ndere woorden, de </w:t>
      </w:r>
      <w:proofErr w:type="spellStart"/>
      <w:r w:rsidR="003D36FC">
        <w:rPr>
          <w:rFonts w:ascii="Times New Roman" w:eastAsiaTheme="minorEastAsia" w:hAnsi="Times New Roman" w:cs="Times New Roman"/>
          <w:sz w:val="24"/>
          <w:szCs w:val="24"/>
        </w:rPr>
        <w:t>efficacy</w:t>
      </w:r>
      <w:proofErr w:type="spellEnd"/>
      <w:r w:rsidR="003D36FC">
        <w:rPr>
          <w:rFonts w:ascii="Times New Roman" w:eastAsiaTheme="minorEastAsia" w:hAnsi="Times New Roman" w:cs="Times New Roman"/>
          <w:sz w:val="24"/>
          <w:szCs w:val="24"/>
        </w:rPr>
        <w:t xml:space="preserve"> van het</w:t>
      </w:r>
      <w:r w:rsidR="00C42AB0">
        <w:rPr>
          <w:rFonts w:ascii="Times New Roman" w:eastAsiaTheme="minorEastAsia" w:hAnsi="Times New Roman" w:cs="Times New Roman"/>
          <w:sz w:val="24"/>
          <w:szCs w:val="24"/>
        </w:rPr>
        <w:t xml:space="preserve"> toegediende antibiotic</w:t>
      </w:r>
      <w:r w:rsidR="003D36FC">
        <w:rPr>
          <w:rFonts w:ascii="Times New Roman" w:eastAsiaTheme="minorEastAsia" w:hAnsi="Times New Roman" w:cs="Times New Roman"/>
          <w:sz w:val="24"/>
          <w:szCs w:val="24"/>
        </w:rPr>
        <w:t>um zal naar schatting nog maar 80</w:t>
      </w:r>
      <w:r w:rsidR="00C42AB0">
        <w:rPr>
          <w:rFonts w:ascii="Times New Roman" w:eastAsiaTheme="minorEastAsia" w:hAnsi="Times New Roman" w:cs="Times New Roman"/>
          <w:sz w:val="24"/>
          <w:szCs w:val="24"/>
        </w:rPr>
        <w:t>% zijn van de situatie bij binnenkomst. Hoewel er vanzelfsprekend veel meer factoren va</w:t>
      </w:r>
      <w:r w:rsidR="00A2280D">
        <w:rPr>
          <w:rFonts w:ascii="Times New Roman" w:eastAsiaTheme="minorEastAsia" w:hAnsi="Times New Roman" w:cs="Times New Roman"/>
          <w:sz w:val="24"/>
          <w:szCs w:val="24"/>
        </w:rPr>
        <w:t>n invloed zijn op het klinische</w:t>
      </w:r>
      <w:r w:rsidR="00C42AB0">
        <w:rPr>
          <w:rFonts w:ascii="Times New Roman" w:eastAsiaTheme="minorEastAsia" w:hAnsi="Times New Roman" w:cs="Times New Roman"/>
          <w:sz w:val="24"/>
          <w:szCs w:val="24"/>
        </w:rPr>
        <w:t xml:space="preserve"> herstel van de patiënt</w:t>
      </w:r>
      <w:r w:rsidR="003D36FC">
        <w:rPr>
          <w:rFonts w:ascii="Times New Roman" w:eastAsiaTheme="minorEastAsia" w:hAnsi="Times New Roman" w:cs="Times New Roman"/>
          <w:sz w:val="24"/>
          <w:szCs w:val="24"/>
        </w:rPr>
        <w:t>e</w:t>
      </w:r>
      <w:r w:rsidR="00C42AB0">
        <w:rPr>
          <w:rFonts w:ascii="Times New Roman" w:eastAsiaTheme="minorEastAsia" w:hAnsi="Times New Roman" w:cs="Times New Roman"/>
          <w:sz w:val="24"/>
          <w:szCs w:val="24"/>
        </w:rPr>
        <w:t xml:space="preserve"> in kwestie, is he</w:t>
      </w:r>
      <w:r w:rsidR="00A2280D">
        <w:rPr>
          <w:rFonts w:ascii="Times New Roman" w:eastAsiaTheme="minorEastAsia" w:hAnsi="Times New Roman" w:cs="Times New Roman"/>
          <w:sz w:val="24"/>
          <w:szCs w:val="24"/>
        </w:rPr>
        <w:t>t van groot belang te beseffen</w:t>
      </w:r>
      <w:r w:rsidR="00C42AB0">
        <w:rPr>
          <w:rFonts w:ascii="Times New Roman" w:eastAsiaTheme="minorEastAsia" w:hAnsi="Times New Roman" w:cs="Times New Roman"/>
          <w:sz w:val="24"/>
          <w:szCs w:val="24"/>
        </w:rPr>
        <w:t xml:space="preserve"> dat een factor die in de klinische p</w:t>
      </w:r>
      <w:r w:rsidR="00A2280D">
        <w:rPr>
          <w:rFonts w:ascii="Times New Roman" w:eastAsiaTheme="minorEastAsia" w:hAnsi="Times New Roman" w:cs="Times New Roman"/>
          <w:sz w:val="24"/>
          <w:szCs w:val="24"/>
        </w:rPr>
        <w:t>raktijk vaak</w:t>
      </w:r>
      <w:r w:rsidR="00C42AB0">
        <w:rPr>
          <w:rFonts w:ascii="Times New Roman" w:eastAsiaTheme="minorEastAsia" w:hAnsi="Times New Roman" w:cs="Times New Roman"/>
          <w:sz w:val="24"/>
          <w:szCs w:val="24"/>
        </w:rPr>
        <w:t xml:space="preserve"> buiten beschouwing wordt gelaten toch al verantwoordelijk kan zijn voor een</w:t>
      </w:r>
      <w:r w:rsidR="003D36FC">
        <w:rPr>
          <w:rFonts w:ascii="Times New Roman" w:eastAsiaTheme="minorEastAsia" w:hAnsi="Times New Roman" w:cs="Times New Roman"/>
          <w:sz w:val="24"/>
          <w:szCs w:val="24"/>
        </w:rPr>
        <w:t xml:space="preserve"> verlies van </w:t>
      </w:r>
      <w:proofErr w:type="spellStart"/>
      <w:r w:rsidR="003D36FC">
        <w:rPr>
          <w:rFonts w:ascii="Times New Roman" w:eastAsiaTheme="minorEastAsia" w:hAnsi="Times New Roman" w:cs="Times New Roman"/>
          <w:sz w:val="24"/>
          <w:szCs w:val="24"/>
        </w:rPr>
        <w:t>efficacy</w:t>
      </w:r>
      <w:proofErr w:type="spellEnd"/>
      <w:r w:rsidR="003D36FC">
        <w:rPr>
          <w:rFonts w:ascii="Times New Roman" w:eastAsiaTheme="minorEastAsia" w:hAnsi="Times New Roman" w:cs="Times New Roman"/>
          <w:sz w:val="24"/>
          <w:szCs w:val="24"/>
        </w:rPr>
        <w:t xml:space="preserve"> van </w:t>
      </w:r>
      <w:r w:rsidR="00C42AB0">
        <w:rPr>
          <w:rFonts w:ascii="Times New Roman" w:eastAsiaTheme="minorEastAsia" w:hAnsi="Times New Roman" w:cs="Times New Roman"/>
          <w:sz w:val="24"/>
          <w:szCs w:val="24"/>
        </w:rPr>
        <w:t>20%</w:t>
      </w:r>
      <w:r w:rsidR="00A2280D">
        <w:rPr>
          <w:rFonts w:ascii="Times New Roman" w:eastAsiaTheme="minorEastAsia" w:hAnsi="Times New Roman" w:cs="Times New Roman"/>
          <w:sz w:val="24"/>
          <w:szCs w:val="24"/>
        </w:rPr>
        <w:t>, nog</w:t>
      </w:r>
      <w:r w:rsidR="00C42AB0">
        <w:rPr>
          <w:rFonts w:ascii="Times New Roman" w:eastAsiaTheme="minorEastAsia" w:hAnsi="Times New Roman" w:cs="Times New Roman"/>
          <w:sz w:val="24"/>
          <w:szCs w:val="24"/>
        </w:rPr>
        <w:t xml:space="preserve"> zonder dat er sprake is van extreme schommelingen in de concentratie van plasma-eiwitten. </w:t>
      </w:r>
      <w:r w:rsidR="00A2280D">
        <w:rPr>
          <w:rFonts w:ascii="Times New Roman" w:eastAsiaTheme="minorEastAsia" w:hAnsi="Times New Roman" w:cs="Times New Roman"/>
          <w:sz w:val="24"/>
          <w:szCs w:val="24"/>
        </w:rPr>
        <w:t>Immers, e</w:t>
      </w:r>
      <w:r w:rsidR="00C42AB0">
        <w:rPr>
          <w:rFonts w:ascii="Times New Roman" w:eastAsiaTheme="minorEastAsia" w:hAnsi="Times New Roman" w:cs="Times New Roman"/>
          <w:sz w:val="24"/>
          <w:szCs w:val="24"/>
        </w:rPr>
        <w:t xml:space="preserve">en meer extreme hemoconcentratie met een plasma-albuminespiegel van bijvoorbeeld 50 g/L had in dit voorbeeld al geresulteerd in geschatte afname van </w:t>
      </w:r>
      <w:proofErr w:type="spellStart"/>
      <w:r w:rsidR="00C42AB0">
        <w:rPr>
          <w:rFonts w:ascii="Times New Roman" w:eastAsiaTheme="minorEastAsia" w:hAnsi="Times New Roman" w:cs="Times New Roman"/>
          <w:sz w:val="24"/>
          <w:szCs w:val="24"/>
        </w:rPr>
        <w:t>efficacy</w:t>
      </w:r>
      <w:proofErr w:type="spellEnd"/>
      <w:r w:rsidR="00C42AB0">
        <w:rPr>
          <w:rFonts w:ascii="Times New Roman" w:eastAsiaTheme="minorEastAsia" w:hAnsi="Times New Roman" w:cs="Times New Roman"/>
          <w:sz w:val="24"/>
          <w:szCs w:val="24"/>
        </w:rPr>
        <w:t xml:space="preserve"> van </w:t>
      </w:r>
      <w:r w:rsidR="003D36FC">
        <w:rPr>
          <w:rFonts w:ascii="Times New Roman" w:eastAsiaTheme="minorEastAsia" w:hAnsi="Times New Roman" w:cs="Times New Roman"/>
          <w:sz w:val="24"/>
          <w:szCs w:val="24"/>
        </w:rPr>
        <w:t xml:space="preserve">bijna </w:t>
      </w:r>
      <w:r w:rsidR="00C42AB0">
        <w:rPr>
          <w:rFonts w:ascii="Times New Roman" w:eastAsiaTheme="minorEastAsia" w:hAnsi="Times New Roman" w:cs="Times New Roman"/>
          <w:sz w:val="24"/>
          <w:szCs w:val="24"/>
        </w:rPr>
        <w:t>30%.</w:t>
      </w:r>
      <w:r w:rsidR="00703413">
        <w:rPr>
          <w:rFonts w:ascii="Times New Roman" w:eastAsiaTheme="minorEastAsia" w:hAnsi="Times New Roman" w:cs="Times New Roman"/>
          <w:sz w:val="24"/>
          <w:szCs w:val="24"/>
        </w:rPr>
        <w:t xml:space="preserve"> </w:t>
      </w:r>
      <w:r w:rsidR="003D36FC">
        <w:rPr>
          <w:rFonts w:ascii="Times New Roman" w:eastAsiaTheme="minorEastAsia" w:hAnsi="Times New Roman" w:cs="Times New Roman"/>
          <w:sz w:val="24"/>
          <w:szCs w:val="24"/>
        </w:rPr>
        <w:t>Ten aanzien van haar acenocoumaro</w:t>
      </w:r>
      <w:r w:rsidR="007F2601">
        <w:rPr>
          <w:rFonts w:ascii="Times New Roman" w:eastAsiaTheme="minorEastAsia" w:hAnsi="Times New Roman" w:cs="Times New Roman"/>
          <w:sz w:val="24"/>
          <w:szCs w:val="24"/>
        </w:rPr>
        <w:t>l</w:t>
      </w:r>
      <w:r w:rsidR="00914BD8">
        <w:rPr>
          <w:rFonts w:ascii="Times New Roman" w:eastAsiaTheme="minorEastAsia" w:hAnsi="Times New Roman" w:cs="Times New Roman"/>
          <w:sz w:val="24"/>
          <w:szCs w:val="24"/>
        </w:rPr>
        <w:t>gebruik</w:t>
      </w:r>
      <w:r w:rsidR="007F2601">
        <w:rPr>
          <w:rFonts w:ascii="Times New Roman" w:eastAsiaTheme="minorEastAsia" w:hAnsi="Times New Roman" w:cs="Times New Roman"/>
          <w:sz w:val="24"/>
          <w:szCs w:val="24"/>
        </w:rPr>
        <w:t xml:space="preserve"> geldt dezelfde redenering, waaruit </w:t>
      </w:r>
      <w:r w:rsidR="00914BD8">
        <w:rPr>
          <w:rFonts w:ascii="Times New Roman" w:eastAsiaTheme="minorEastAsia" w:hAnsi="Times New Roman" w:cs="Times New Roman"/>
          <w:sz w:val="24"/>
          <w:szCs w:val="24"/>
        </w:rPr>
        <w:t>volgt dat er risico</w:t>
      </w:r>
      <w:r w:rsidR="007F2601">
        <w:rPr>
          <w:rFonts w:ascii="Times New Roman" w:eastAsiaTheme="minorEastAsia" w:hAnsi="Times New Roman" w:cs="Times New Roman"/>
          <w:sz w:val="24"/>
          <w:szCs w:val="24"/>
        </w:rPr>
        <w:t xml:space="preserve"> ontstaat op</w:t>
      </w:r>
      <w:r w:rsidR="004D4279">
        <w:rPr>
          <w:rFonts w:ascii="Times New Roman" w:eastAsiaTheme="minorEastAsia" w:hAnsi="Times New Roman" w:cs="Times New Roman"/>
          <w:sz w:val="24"/>
          <w:szCs w:val="24"/>
        </w:rPr>
        <w:t xml:space="preserve"> </w:t>
      </w:r>
      <w:r w:rsidR="00914BD8">
        <w:rPr>
          <w:rFonts w:ascii="Times New Roman" w:eastAsiaTheme="minorEastAsia" w:hAnsi="Times New Roman" w:cs="Times New Roman"/>
          <w:sz w:val="24"/>
          <w:szCs w:val="24"/>
        </w:rPr>
        <w:t xml:space="preserve">inadequate </w:t>
      </w:r>
      <w:r w:rsidR="004D4279">
        <w:rPr>
          <w:rFonts w:ascii="Times New Roman" w:eastAsiaTheme="minorEastAsia" w:hAnsi="Times New Roman" w:cs="Times New Roman"/>
          <w:sz w:val="24"/>
          <w:szCs w:val="24"/>
        </w:rPr>
        <w:t>antistolling en, zeker als deze toestand langere tijd blijft bestaan</w:t>
      </w:r>
      <w:r w:rsidR="007F2601">
        <w:rPr>
          <w:rFonts w:ascii="Times New Roman" w:eastAsiaTheme="minorEastAsia" w:hAnsi="Times New Roman" w:cs="Times New Roman"/>
          <w:sz w:val="24"/>
          <w:szCs w:val="24"/>
        </w:rPr>
        <w:t>,</w:t>
      </w:r>
      <w:r w:rsidR="007F2601" w:rsidRPr="007F2601">
        <w:rPr>
          <w:rFonts w:ascii="Times New Roman" w:eastAsiaTheme="minorEastAsia" w:hAnsi="Times New Roman" w:cs="Times New Roman"/>
          <w:sz w:val="24"/>
          <w:szCs w:val="24"/>
        </w:rPr>
        <w:t xml:space="preserve"> </w:t>
      </w:r>
      <w:r w:rsidR="007F2601">
        <w:rPr>
          <w:rFonts w:ascii="Times New Roman" w:eastAsiaTheme="minorEastAsia" w:hAnsi="Times New Roman" w:cs="Times New Roman"/>
          <w:sz w:val="24"/>
          <w:szCs w:val="24"/>
        </w:rPr>
        <w:t>embolieën</w:t>
      </w:r>
      <w:r w:rsidR="004D4279">
        <w:rPr>
          <w:rFonts w:ascii="Times New Roman" w:eastAsiaTheme="minorEastAsia" w:hAnsi="Times New Roman" w:cs="Times New Roman"/>
          <w:sz w:val="24"/>
          <w:szCs w:val="24"/>
        </w:rPr>
        <w:t xml:space="preserve">. </w:t>
      </w:r>
    </w:p>
    <w:p w:rsidR="004A5520" w:rsidRDefault="004D4279" w:rsidP="004A5520">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St</w:t>
      </w:r>
      <w:r w:rsidR="0056245A">
        <w:rPr>
          <w:rFonts w:ascii="Times New Roman" w:eastAsiaTheme="minorEastAsia" w:hAnsi="Times New Roman" w:cs="Times New Roman"/>
          <w:sz w:val="24"/>
          <w:szCs w:val="24"/>
        </w:rPr>
        <w:t>el</w:t>
      </w:r>
      <w:r w:rsidR="00914BD8">
        <w:rPr>
          <w:rFonts w:ascii="Times New Roman" w:eastAsiaTheme="minorEastAsia" w:hAnsi="Times New Roman" w:cs="Times New Roman"/>
          <w:sz w:val="24"/>
          <w:szCs w:val="24"/>
        </w:rPr>
        <w:t xml:space="preserve"> nu</w:t>
      </w:r>
      <w:r w:rsidR="0056245A">
        <w:rPr>
          <w:rFonts w:ascii="Times New Roman" w:eastAsiaTheme="minorEastAsia" w:hAnsi="Times New Roman" w:cs="Times New Roman"/>
          <w:sz w:val="24"/>
          <w:szCs w:val="24"/>
        </w:rPr>
        <w:t xml:space="preserve"> dat</w:t>
      </w:r>
      <w:r>
        <w:rPr>
          <w:rFonts w:ascii="Times New Roman" w:eastAsiaTheme="minorEastAsia" w:hAnsi="Times New Roman" w:cs="Times New Roman"/>
          <w:sz w:val="24"/>
          <w:szCs w:val="24"/>
        </w:rPr>
        <w:t xml:space="preserve"> </w:t>
      </w:r>
      <w:r w:rsidR="007F2601">
        <w:rPr>
          <w:rFonts w:ascii="Times New Roman" w:eastAsiaTheme="minorEastAsia" w:hAnsi="Times New Roman" w:cs="Times New Roman"/>
          <w:sz w:val="24"/>
          <w:szCs w:val="24"/>
        </w:rPr>
        <w:t xml:space="preserve">haar </w:t>
      </w:r>
      <w:proofErr w:type="spellStart"/>
      <w:r w:rsidR="007F2601">
        <w:rPr>
          <w:rFonts w:ascii="Times New Roman" w:eastAsiaTheme="minorEastAsia" w:hAnsi="Times New Roman" w:cs="Times New Roman"/>
          <w:sz w:val="24"/>
          <w:szCs w:val="24"/>
        </w:rPr>
        <w:t>acecoumarol</w:t>
      </w:r>
      <w:proofErr w:type="spellEnd"/>
      <w:r w:rsidR="00914BD8">
        <w:rPr>
          <w:rFonts w:ascii="Times New Roman" w:eastAsiaTheme="minorEastAsia" w:hAnsi="Times New Roman" w:cs="Times New Roman"/>
          <w:sz w:val="24"/>
          <w:szCs w:val="24"/>
        </w:rPr>
        <w:t xml:space="preserve"> tijdens haar klinische opname</w:t>
      </w:r>
      <w:r w:rsidR="007F2601">
        <w:rPr>
          <w:rFonts w:ascii="Times New Roman" w:eastAsiaTheme="minorEastAsia" w:hAnsi="Times New Roman" w:cs="Times New Roman"/>
          <w:sz w:val="24"/>
          <w:szCs w:val="24"/>
        </w:rPr>
        <w:t xml:space="preserve"> wordt </w:t>
      </w:r>
      <w:proofErr w:type="spellStart"/>
      <w:r w:rsidR="007F2601">
        <w:rPr>
          <w:rFonts w:ascii="Times New Roman" w:eastAsiaTheme="minorEastAsia" w:hAnsi="Times New Roman" w:cs="Times New Roman"/>
          <w:sz w:val="24"/>
          <w:szCs w:val="24"/>
        </w:rPr>
        <w:t>doorgedoseerd</w:t>
      </w:r>
      <w:proofErr w:type="spellEnd"/>
      <w:r w:rsidR="007F2601">
        <w:rPr>
          <w:rFonts w:ascii="Times New Roman" w:eastAsiaTheme="minorEastAsia" w:hAnsi="Times New Roman" w:cs="Times New Roman"/>
          <w:sz w:val="24"/>
          <w:szCs w:val="24"/>
        </w:rPr>
        <w:t xml:space="preserve"> op geleide van haar INR-waarden en dat </w:t>
      </w:r>
      <w:r>
        <w:rPr>
          <w:rFonts w:ascii="Times New Roman" w:eastAsiaTheme="minorEastAsia" w:hAnsi="Times New Roman" w:cs="Times New Roman"/>
          <w:sz w:val="24"/>
          <w:szCs w:val="24"/>
        </w:rPr>
        <w:t>in de hierop volgende dagen</w:t>
      </w:r>
      <w:r w:rsidR="0056245A">
        <w:rPr>
          <w:rFonts w:ascii="Times New Roman" w:eastAsiaTheme="minorEastAsia" w:hAnsi="Times New Roman" w:cs="Times New Roman"/>
          <w:sz w:val="24"/>
          <w:szCs w:val="24"/>
        </w:rPr>
        <w:t xml:space="preserve"> </w:t>
      </w:r>
      <w:r w:rsidR="000836E1">
        <w:rPr>
          <w:rFonts w:ascii="Times New Roman" w:eastAsiaTheme="minorEastAsia" w:hAnsi="Times New Roman" w:cs="Times New Roman"/>
          <w:sz w:val="24"/>
          <w:szCs w:val="24"/>
        </w:rPr>
        <w:t>de</w:t>
      </w:r>
      <w:r w:rsidR="00914BD8">
        <w:rPr>
          <w:rFonts w:ascii="Times New Roman" w:eastAsiaTheme="minorEastAsia" w:hAnsi="Times New Roman" w:cs="Times New Roman"/>
          <w:sz w:val="24"/>
          <w:szCs w:val="24"/>
        </w:rPr>
        <w:t xml:space="preserve"> bovengenoemde</w:t>
      </w:r>
      <w:r w:rsidR="000836E1">
        <w:rPr>
          <w:rFonts w:ascii="Times New Roman" w:eastAsiaTheme="minorEastAsia" w:hAnsi="Times New Roman" w:cs="Times New Roman"/>
          <w:sz w:val="24"/>
          <w:szCs w:val="24"/>
        </w:rPr>
        <w:t xml:space="preserve"> systemische infectie</w:t>
      </w:r>
      <w:r w:rsidR="0056245A">
        <w:rPr>
          <w:rFonts w:ascii="Times New Roman" w:eastAsiaTheme="minorEastAsia" w:hAnsi="Times New Roman" w:cs="Times New Roman"/>
          <w:sz w:val="24"/>
          <w:szCs w:val="24"/>
        </w:rPr>
        <w:t xml:space="preserve"> </w:t>
      </w:r>
      <w:r w:rsidR="000836E1">
        <w:rPr>
          <w:rFonts w:ascii="Times New Roman" w:eastAsiaTheme="minorEastAsia" w:hAnsi="Times New Roman" w:cs="Times New Roman"/>
          <w:sz w:val="24"/>
          <w:szCs w:val="24"/>
        </w:rPr>
        <w:t xml:space="preserve">een katabole toestand met een negatieve </w:t>
      </w:r>
      <w:proofErr w:type="spellStart"/>
      <w:r w:rsidR="000836E1">
        <w:rPr>
          <w:rFonts w:ascii="Times New Roman" w:eastAsiaTheme="minorEastAsia" w:hAnsi="Times New Roman" w:cs="Times New Roman"/>
          <w:sz w:val="24"/>
          <w:szCs w:val="24"/>
        </w:rPr>
        <w:t>acutefasereactie</w:t>
      </w:r>
      <w:proofErr w:type="spellEnd"/>
      <w:r w:rsidR="000836E1">
        <w:rPr>
          <w:rFonts w:ascii="Times New Roman" w:eastAsiaTheme="minorEastAsia" w:hAnsi="Times New Roman" w:cs="Times New Roman"/>
          <w:sz w:val="24"/>
          <w:szCs w:val="24"/>
        </w:rPr>
        <w:t xml:space="preserve"> veroorzaakt</w:t>
      </w:r>
      <w:r w:rsidR="00914BD8">
        <w:rPr>
          <w:rFonts w:ascii="Times New Roman" w:eastAsiaTheme="minorEastAsia" w:hAnsi="Times New Roman" w:cs="Times New Roman"/>
          <w:sz w:val="24"/>
          <w:szCs w:val="24"/>
        </w:rPr>
        <w:t>.</w:t>
      </w:r>
      <w:r w:rsidR="0056245A">
        <w:rPr>
          <w:rFonts w:ascii="Times New Roman" w:eastAsiaTheme="minorEastAsia" w:hAnsi="Times New Roman" w:cs="Times New Roman"/>
          <w:sz w:val="24"/>
          <w:szCs w:val="24"/>
        </w:rPr>
        <w:t xml:space="preserve"> </w:t>
      </w:r>
      <w:r w:rsidR="00914BD8">
        <w:rPr>
          <w:rFonts w:ascii="Times New Roman" w:eastAsiaTheme="minorEastAsia" w:hAnsi="Times New Roman" w:cs="Times New Roman"/>
          <w:sz w:val="24"/>
          <w:szCs w:val="24"/>
        </w:rPr>
        <w:t>O</w:t>
      </w:r>
      <w:r>
        <w:rPr>
          <w:rFonts w:ascii="Times New Roman" w:eastAsiaTheme="minorEastAsia" w:hAnsi="Times New Roman" w:cs="Times New Roman"/>
          <w:sz w:val="24"/>
          <w:szCs w:val="24"/>
        </w:rPr>
        <w:t>p basis van eerdere hemoconcentratie</w:t>
      </w:r>
      <w:r w:rsidR="00914BD8">
        <w:rPr>
          <w:rFonts w:ascii="Times New Roman" w:eastAsiaTheme="minorEastAsia" w:hAnsi="Times New Roman" w:cs="Times New Roman"/>
          <w:sz w:val="24"/>
          <w:szCs w:val="24"/>
        </w:rPr>
        <w:t xml:space="preserve"> wordt een</w:t>
      </w:r>
      <w:r w:rsidR="0056245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over</w:t>
      </w:r>
      <w:r w:rsidR="0056245A">
        <w:rPr>
          <w:rFonts w:ascii="Times New Roman" w:eastAsiaTheme="minorEastAsia" w:hAnsi="Times New Roman" w:cs="Times New Roman"/>
          <w:sz w:val="24"/>
          <w:szCs w:val="24"/>
        </w:rPr>
        <w:t>enthousiast infuusbeleid</w:t>
      </w:r>
      <w:r>
        <w:rPr>
          <w:rFonts w:ascii="Times New Roman" w:eastAsiaTheme="minorEastAsia" w:hAnsi="Times New Roman" w:cs="Times New Roman"/>
          <w:sz w:val="24"/>
          <w:szCs w:val="24"/>
        </w:rPr>
        <w:t xml:space="preserve"> ingesteld, leidend tot </w:t>
      </w:r>
      <w:proofErr w:type="spellStart"/>
      <w:r>
        <w:rPr>
          <w:rFonts w:ascii="Times New Roman" w:eastAsiaTheme="minorEastAsia" w:hAnsi="Times New Roman" w:cs="Times New Roman"/>
          <w:sz w:val="24"/>
          <w:szCs w:val="24"/>
        </w:rPr>
        <w:t>hemodilutie</w:t>
      </w:r>
      <w:proofErr w:type="spellEnd"/>
      <w:r>
        <w:rPr>
          <w:rFonts w:ascii="Times New Roman" w:eastAsiaTheme="minorEastAsia" w:hAnsi="Times New Roman" w:cs="Times New Roman"/>
          <w:sz w:val="24"/>
          <w:szCs w:val="24"/>
        </w:rPr>
        <w:t xml:space="preserve">. Stel dat </w:t>
      </w:r>
      <w:r w:rsidR="0056245A">
        <w:rPr>
          <w:rFonts w:ascii="Times New Roman" w:eastAsiaTheme="minorEastAsia" w:hAnsi="Times New Roman" w:cs="Times New Roman"/>
          <w:sz w:val="24"/>
          <w:szCs w:val="24"/>
        </w:rPr>
        <w:t xml:space="preserve">de plasma-albuminespiegel </w:t>
      </w:r>
      <w:r>
        <w:rPr>
          <w:rFonts w:ascii="Times New Roman" w:eastAsiaTheme="minorEastAsia" w:hAnsi="Times New Roman" w:cs="Times New Roman"/>
          <w:sz w:val="24"/>
          <w:szCs w:val="24"/>
        </w:rPr>
        <w:t>bij controle weer gedaald is tot 32</w:t>
      </w:r>
      <w:r w:rsidR="0056245A">
        <w:rPr>
          <w:rFonts w:ascii="Times New Roman" w:eastAsiaTheme="minorEastAsia" w:hAnsi="Times New Roman" w:cs="Times New Roman"/>
          <w:sz w:val="24"/>
          <w:szCs w:val="24"/>
        </w:rPr>
        <w:t xml:space="preserve"> g/L. </w:t>
      </w:r>
      <w:r>
        <w:rPr>
          <w:rFonts w:ascii="Times New Roman" w:eastAsiaTheme="minorEastAsia" w:hAnsi="Times New Roman" w:cs="Times New Roman"/>
          <w:sz w:val="24"/>
          <w:szCs w:val="24"/>
        </w:rPr>
        <w:t>Hieruit volgt</w:t>
      </w:r>
      <w:r w:rsidR="007F2601">
        <w:rPr>
          <w:rFonts w:ascii="Times New Roman" w:eastAsiaTheme="minorEastAsia" w:hAnsi="Times New Roman" w:cs="Times New Roman"/>
          <w:sz w:val="24"/>
          <w:szCs w:val="24"/>
        </w:rPr>
        <w:t xml:space="preserve"> dan</w:t>
      </w:r>
      <w:r>
        <w:rPr>
          <w:rFonts w:ascii="Times New Roman" w:eastAsiaTheme="minorEastAsia" w:hAnsi="Times New Roman" w:cs="Times New Roman"/>
          <w:sz w:val="24"/>
          <w:szCs w:val="24"/>
        </w:rPr>
        <w:t>:</w:t>
      </w:r>
    </w:p>
    <w:p w:rsidR="004D4279" w:rsidRPr="004A5520" w:rsidRDefault="004D4279" w:rsidP="004D4279">
      <w:pPr>
        <w:spacing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γ=</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num>
            <m:den>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P</m:t>
                      </m:r>
                    </m:e>
                  </m:d>
                </m:e>
                <m:sub>
                  <m:r>
                    <w:rPr>
                      <w:rFonts w:ascii="Cambria Math" w:hAnsi="Cambria Math" w:cs="Times New Roman"/>
                      <w:sz w:val="24"/>
                      <w:szCs w:val="24"/>
                    </w:rPr>
                    <m:t>0,1</m:t>
                  </m:r>
                </m:sub>
              </m:sSub>
            </m:num>
            <m:den>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P</m:t>
                      </m:r>
                    </m:e>
                  </m:d>
                </m:e>
                <m:sub>
                  <m:r>
                    <w:rPr>
                      <w:rFonts w:ascii="Cambria Math" w:hAnsi="Cambria Math" w:cs="Times New Roman"/>
                      <w:sz w:val="24"/>
                      <w:szCs w:val="24"/>
                    </w:rPr>
                    <m:t>0,2</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45 g/L</m:t>
              </m:r>
            </m:num>
            <m:den>
              <m:r>
                <w:rPr>
                  <w:rFonts w:ascii="Cambria Math" w:eastAsiaTheme="minorEastAsia" w:hAnsi="Cambria Math" w:cs="Times New Roman"/>
                  <w:sz w:val="24"/>
                  <w:szCs w:val="24"/>
                </w:rPr>
                <m:t>32 g/L</m:t>
              </m:r>
            </m:den>
          </m:f>
          <m:r>
            <w:rPr>
              <w:rFonts w:ascii="Cambria Math" w:eastAsiaTheme="minorEastAsia" w:hAnsi="Cambria Math" w:cs="Times New Roman"/>
              <w:sz w:val="24"/>
              <w:szCs w:val="24"/>
            </w:rPr>
            <m:t>=1.41</m:t>
          </m:r>
        </m:oMath>
      </m:oMathPara>
    </w:p>
    <w:p w:rsidR="004D4279" w:rsidRPr="000836E1" w:rsidRDefault="007F2601" w:rsidP="004A5520">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Hoewel deze </w:t>
      </w:r>
      <w:r w:rsidR="00914BD8">
        <w:rPr>
          <w:rFonts w:ascii="Times New Roman" w:eastAsiaTheme="minorEastAsia" w:hAnsi="Times New Roman" w:cs="Times New Roman"/>
          <w:sz w:val="24"/>
          <w:szCs w:val="24"/>
        </w:rPr>
        <w:t>verhoogde werkzaamheid voor</w:t>
      </w:r>
      <w:r>
        <w:rPr>
          <w:rFonts w:ascii="Times New Roman" w:eastAsiaTheme="minorEastAsia" w:hAnsi="Times New Roman" w:cs="Times New Roman"/>
          <w:sz w:val="24"/>
          <w:szCs w:val="24"/>
        </w:rPr>
        <w:t xml:space="preserve"> ceftriaxon naar verwachting </w:t>
      </w:r>
      <w:r w:rsidR="00914BD8">
        <w:rPr>
          <w:rFonts w:ascii="Times New Roman" w:eastAsiaTheme="minorEastAsia" w:hAnsi="Times New Roman" w:cs="Times New Roman"/>
          <w:sz w:val="24"/>
          <w:szCs w:val="24"/>
        </w:rPr>
        <w:t>geen</w:t>
      </w:r>
      <w:r>
        <w:rPr>
          <w:rFonts w:ascii="Times New Roman" w:eastAsiaTheme="minorEastAsia" w:hAnsi="Times New Roman" w:cs="Times New Roman"/>
          <w:sz w:val="24"/>
          <w:szCs w:val="24"/>
        </w:rPr>
        <w:t xml:space="preserve"> consequenties zal hebben, kan dit voor haar </w:t>
      </w:r>
      <w:proofErr w:type="spellStart"/>
      <w:r>
        <w:rPr>
          <w:rFonts w:ascii="Times New Roman" w:eastAsiaTheme="minorEastAsia" w:hAnsi="Times New Roman" w:cs="Times New Roman"/>
          <w:sz w:val="24"/>
          <w:szCs w:val="24"/>
        </w:rPr>
        <w:t>acecoumarol</w:t>
      </w:r>
      <w:r w:rsidR="00A2280D">
        <w:rPr>
          <w:rFonts w:ascii="Times New Roman" w:eastAsiaTheme="minorEastAsia" w:hAnsi="Times New Roman" w:cs="Times New Roman"/>
          <w:sz w:val="24"/>
          <w:szCs w:val="24"/>
        </w:rPr>
        <w:t>gebruik</w:t>
      </w:r>
      <w:proofErr w:type="spellEnd"/>
      <w:r>
        <w:rPr>
          <w:rFonts w:ascii="Times New Roman" w:eastAsiaTheme="minorEastAsia" w:hAnsi="Times New Roman" w:cs="Times New Roman"/>
          <w:sz w:val="24"/>
          <w:szCs w:val="24"/>
        </w:rPr>
        <w:t xml:space="preserve"> een gevaarlijk doorgeschoten INR-waarde met potentieel bedreigende bloedingen betekenen. </w:t>
      </w:r>
      <w:r w:rsidR="006D6E6E">
        <w:rPr>
          <w:rFonts w:ascii="Times New Roman" w:eastAsiaTheme="minorEastAsia" w:hAnsi="Times New Roman" w:cs="Times New Roman"/>
          <w:sz w:val="24"/>
          <w:szCs w:val="24"/>
        </w:rPr>
        <w:t xml:space="preserve">Ook voor andere sterk eiwitgebonden geneesmiddelen met een smalle therapeutische breedte, zoals verschillende anti-epileptica, ligt toxiciteit op de loer bij </w:t>
      </w:r>
      <w:r w:rsidR="00914BD8">
        <w:rPr>
          <w:rFonts w:ascii="Times New Roman" w:eastAsiaTheme="minorEastAsia" w:hAnsi="Times New Roman" w:cs="Times New Roman"/>
          <w:sz w:val="24"/>
          <w:szCs w:val="24"/>
        </w:rPr>
        <w:t xml:space="preserve">een </w:t>
      </w:r>
      <w:r w:rsidR="006D6E6E">
        <w:rPr>
          <w:rFonts w:ascii="Times New Roman" w:eastAsiaTheme="minorEastAsia" w:hAnsi="Times New Roman" w:cs="Times New Roman"/>
          <w:sz w:val="24"/>
          <w:szCs w:val="24"/>
        </w:rPr>
        <w:t xml:space="preserve">onvoorziene toename van de vrije geneesmiddelenfractie.  </w:t>
      </w:r>
    </w:p>
    <w:p w:rsidR="00A76304" w:rsidRDefault="00C42AB0" w:rsidP="00AC1354">
      <w:pPr>
        <w:spacing w:line="480" w:lineRule="auto"/>
        <w:jc w:val="both"/>
        <w:rPr>
          <w:rFonts w:ascii="Times New Roman" w:hAnsi="Times New Roman" w:cs="Times New Roman"/>
          <w:sz w:val="24"/>
          <w:szCs w:val="24"/>
        </w:rPr>
      </w:pPr>
      <w:r w:rsidRPr="000836E1">
        <w:rPr>
          <w:rFonts w:ascii="Times New Roman" w:hAnsi="Times New Roman" w:cs="Times New Roman"/>
          <w:sz w:val="24"/>
          <w:szCs w:val="24"/>
        </w:rPr>
        <w:t>In conclusie verwacht ik dat de hi</w:t>
      </w:r>
      <w:r w:rsidR="000836E1" w:rsidRPr="000836E1">
        <w:rPr>
          <w:rFonts w:ascii="Times New Roman" w:hAnsi="Times New Roman" w:cs="Times New Roman"/>
          <w:sz w:val="24"/>
          <w:szCs w:val="24"/>
        </w:rPr>
        <w:t xml:space="preserve">erboven afgeleide correctiefactor de clinicus </w:t>
      </w:r>
      <w:r w:rsidR="00914BD8">
        <w:rPr>
          <w:rFonts w:ascii="Times New Roman" w:hAnsi="Times New Roman" w:cs="Times New Roman"/>
          <w:sz w:val="24"/>
          <w:szCs w:val="24"/>
        </w:rPr>
        <w:t xml:space="preserve">practicus </w:t>
      </w:r>
      <w:r w:rsidR="000836E1" w:rsidRPr="000836E1">
        <w:rPr>
          <w:rFonts w:ascii="Times New Roman" w:hAnsi="Times New Roman" w:cs="Times New Roman"/>
          <w:sz w:val="24"/>
          <w:szCs w:val="24"/>
        </w:rPr>
        <w:t>kan helpen om bij een patiënt waarbij een significante verandering in de plasma-eiwitconcentratie optreedt</w:t>
      </w:r>
      <w:r w:rsidR="000836E1">
        <w:rPr>
          <w:rFonts w:ascii="Times New Roman" w:hAnsi="Times New Roman" w:cs="Times New Roman"/>
          <w:sz w:val="24"/>
          <w:szCs w:val="24"/>
        </w:rPr>
        <w:t xml:space="preserve"> op een eenvoudige manier</w:t>
      </w:r>
      <w:r w:rsidR="000836E1" w:rsidRPr="000836E1">
        <w:rPr>
          <w:rFonts w:ascii="Times New Roman" w:hAnsi="Times New Roman" w:cs="Times New Roman"/>
          <w:sz w:val="24"/>
          <w:szCs w:val="24"/>
        </w:rPr>
        <w:t xml:space="preserve"> een beredeneerde inschatting te maken van hoe de </w:t>
      </w:r>
      <w:proofErr w:type="spellStart"/>
      <w:r w:rsidR="000836E1" w:rsidRPr="000836E1">
        <w:rPr>
          <w:rFonts w:ascii="Times New Roman" w:hAnsi="Times New Roman" w:cs="Times New Roman"/>
          <w:sz w:val="24"/>
          <w:szCs w:val="24"/>
        </w:rPr>
        <w:t>efficacy</w:t>
      </w:r>
      <w:proofErr w:type="spellEnd"/>
      <w:r w:rsidR="000836E1" w:rsidRPr="000836E1">
        <w:rPr>
          <w:rFonts w:ascii="Times New Roman" w:hAnsi="Times New Roman" w:cs="Times New Roman"/>
          <w:sz w:val="24"/>
          <w:szCs w:val="24"/>
        </w:rPr>
        <w:t xml:space="preserve"> van een toegediend sterk eiwitgebonden geneesmiddel </w:t>
      </w:r>
      <w:r w:rsidR="000836E1">
        <w:rPr>
          <w:rFonts w:ascii="Times New Roman" w:hAnsi="Times New Roman" w:cs="Times New Roman"/>
          <w:sz w:val="24"/>
          <w:szCs w:val="24"/>
        </w:rPr>
        <w:t>hierdoor zal veranderen. Een expe</w:t>
      </w:r>
      <w:r w:rsidR="00A2280D">
        <w:rPr>
          <w:rFonts w:ascii="Times New Roman" w:hAnsi="Times New Roman" w:cs="Times New Roman"/>
          <w:sz w:val="24"/>
          <w:szCs w:val="24"/>
        </w:rPr>
        <w:t>rimentele validatie van het</w:t>
      </w:r>
      <w:r w:rsidR="000836E1">
        <w:rPr>
          <w:rFonts w:ascii="Times New Roman" w:hAnsi="Times New Roman" w:cs="Times New Roman"/>
          <w:sz w:val="24"/>
          <w:szCs w:val="24"/>
        </w:rPr>
        <w:t xml:space="preserve"> gepresenteerde model valt buiten het bereik van d</w:t>
      </w:r>
      <w:r w:rsidR="00A2280D">
        <w:rPr>
          <w:rFonts w:ascii="Times New Roman" w:hAnsi="Times New Roman" w:cs="Times New Roman"/>
          <w:sz w:val="24"/>
          <w:szCs w:val="24"/>
        </w:rPr>
        <w:t xml:space="preserve">it artikel, maar is </w:t>
      </w:r>
      <w:r w:rsidR="00914BD8">
        <w:rPr>
          <w:rFonts w:ascii="Times New Roman" w:hAnsi="Times New Roman" w:cs="Times New Roman"/>
          <w:sz w:val="24"/>
          <w:szCs w:val="24"/>
        </w:rPr>
        <w:t xml:space="preserve">zonder meer </w:t>
      </w:r>
      <w:r w:rsidR="000836E1">
        <w:rPr>
          <w:rFonts w:ascii="Times New Roman" w:hAnsi="Times New Roman" w:cs="Times New Roman"/>
          <w:sz w:val="24"/>
          <w:szCs w:val="24"/>
        </w:rPr>
        <w:t>wenselijk.</w:t>
      </w:r>
    </w:p>
    <w:p w:rsidR="00A10721" w:rsidRDefault="00A10721" w:rsidP="00AC1354">
      <w:pPr>
        <w:spacing w:line="480" w:lineRule="auto"/>
        <w:jc w:val="both"/>
        <w:rPr>
          <w:rFonts w:ascii="Times New Roman" w:hAnsi="Times New Roman" w:cs="Times New Roman"/>
          <w:b/>
          <w:sz w:val="24"/>
          <w:szCs w:val="24"/>
          <w:u w:val="single"/>
          <w:lang w:val="en-GB"/>
        </w:rPr>
      </w:pPr>
      <w:bookmarkStart w:id="0" w:name="_GoBack"/>
      <w:bookmarkEnd w:id="0"/>
    </w:p>
    <w:p w:rsidR="00044B1A" w:rsidRPr="001165F4" w:rsidRDefault="001165F4" w:rsidP="001165F4">
      <w:pPr>
        <w:pStyle w:val="Lijstalinea"/>
        <w:numPr>
          <w:ilvl w:val="0"/>
          <w:numId w:val="1"/>
        </w:numPr>
        <w:spacing w:line="480" w:lineRule="auto"/>
        <w:jc w:val="both"/>
        <w:rPr>
          <w:rFonts w:ascii="Times New Roman" w:hAnsi="Times New Roman" w:cs="Times New Roman"/>
          <w:b/>
          <w:sz w:val="24"/>
          <w:szCs w:val="24"/>
          <w:u w:val="single"/>
          <w:lang w:val="en-GB"/>
        </w:rPr>
      </w:pPr>
      <w:proofErr w:type="spellStart"/>
      <w:r w:rsidRPr="001165F4">
        <w:rPr>
          <w:rFonts w:ascii="Times New Roman" w:hAnsi="Times New Roman" w:cs="Times New Roman"/>
          <w:b/>
          <w:sz w:val="24"/>
          <w:szCs w:val="24"/>
          <w:u w:val="single"/>
          <w:lang w:val="en-GB"/>
        </w:rPr>
        <w:t>Literatuurverwijzingen</w:t>
      </w:r>
      <w:proofErr w:type="spellEnd"/>
    </w:p>
    <w:sectPr w:rsidR="00044B1A" w:rsidRPr="001165F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940" w:rsidRDefault="00D13940" w:rsidP="00044B1A">
      <w:pPr>
        <w:spacing w:after="0" w:line="240" w:lineRule="auto"/>
      </w:pPr>
      <w:r>
        <w:separator/>
      </w:r>
    </w:p>
  </w:endnote>
  <w:endnote w:type="continuationSeparator" w:id="0">
    <w:p w:rsidR="00D13940" w:rsidRDefault="00D13940" w:rsidP="00044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941597"/>
      <w:docPartObj>
        <w:docPartGallery w:val="Page Numbers (Bottom of Page)"/>
        <w:docPartUnique/>
      </w:docPartObj>
    </w:sdtPr>
    <w:sdtEndPr/>
    <w:sdtContent>
      <w:p w:rsidR="00044B1A" w:rsidRDefault="00044B1A">
        <w:pPr>
          <w:pStyle w:val="Voettekst"/>
          <w:jc w:val="center"/>
        </w:pPr>
        <w:r>
          <w:fldChar w:fldCharType="begin"/>
        </w:r>
        <w:r>
          <w:instrText>PAGE   \* MERGEFORMAT</w:instrText>
        </w:r>
        <w:r>
          <w:fldChar w:fldCharType="separate"/>
        </w:r>
        <w:r w:rsidR="00E6694B">
          <w:rPr>
            <w:noProof/>
          </w:rPr>
          <w:t>8</w:t>
        </w:r>
        <w:r>
          <w:fldChar w:fldCharType="end"/>
        </w:r>
      </w:p>
    </w:sdtContent>
  </w:sdt>
  <w:p w:rsidR="00044B1A" w:rsidRDefault="00044B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940" w:rsidRDefault="00D13940" w:rsidP="00044B1A">
      <w:pPr>
        <w:spacing w:after="0" w:line="240" w:lineRule="auto"/>
      </w:pPr>
      <w:r>
        <w:separator/>
      </w:r>
    </w:p>
  </w:footnote>
  <w:footnote w:type="continuationSeparator" w:id="0">
    <w:p w:rsidR="00D13940" w:rsidRDefault="00D13940" w:rsidP="00044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16D23"/>
    <w:multiLevelType w:val="hybridMultilevel"/>
    <w:tmpl w:val="E0F84F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7B"/>
    <w:rsid w:val="00010F75"/>
    <w:rsid w:val="00044B1A"/>
    <w:rsid w:val="000836E1"/>
    <w:rsid w:val="001165F4"/>
    <w:rsid w:val="001217CF"/>
    <w:rsid w:val="001626EF"/>
    <w:rsid w:val="002D2087"/>
    <w:rsid w:val="002D2D6B"/>
    <w:rsid w:val="00337D31"/>
    <w:rsid w:val="003D36FC"/>
    <w:rsid w:val="004A5520"/>
    <w:rsid w:val="004D4279"/>
    <w:rsid w:val="00505EEA"/>
    <w:rsid w:val="0056245A"/>
    <w:rsid w:val="006624FE"/>
    <w:rsid w:val="006C1D06"/>
    <w:rsid w:val="006C25AA"/>
    <w:rsid w:val="006D6E6E"/>
    <w:rsid w:val="00703413"/>
    <w:rsid w:val="007447B7"/>
    <w:rsid w:val="007F2601"/>
    <w:rsid w:val="008A2180"/>
    <w:rsid w:val="00914BD8"/>
    <w:rsid w:val="009A3201"/>
    <w:rsid w:val="009D47A1"/>
    <w:rsid w:val="009D617E"/>
    <w:rsid w:val="00A10721"/>
    <w:rsid w:val="00A2280D"/>
    <w:rsid w:val="00A241A2"/>
    <w:rsid w:val="00A3606C"/>
    <w:rsid w:val="00A74B5D"/>
    <w:rsid w:val="00A76304"/>
    <w:rsid w:val="00AB61D7"/>
    <w:rsid w:val="00AC1354"/>
    <w:rsid w:val="00AC46ED"/>
    <w:rsid w:val="00B25571"/>
    <w:rsid w:val="00B636FA"/>
    <w:rsid w:val="00C42AB0"/>
    <w:rsid w:val="00C7162E"/>
    <w:rsid w:val="00CD5F0C"/>
    <w:rsid w:val="00D13940"/>
    <w:rsid w:val="00DF7D70"/>
    <w:rsid w:val="00E5133F"/>
    <w:rsid w:val="00E6694B"/>
    <w:rsid w:val="00FB25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E520F-B830-4822-A6CF-19B85A4D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25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B257B"/>
    <w:rPr>
      <w:color w:val="808080"/>
    </w:rPr>
  </w:style>
  <w:style w:type="paragraph" w:styleId="Koptekst">
    <w:name w:val="header"/>
    <w:basedOn w:val="Standaard"/>
    <w:link w:val="KoptekstChar"/>
    <w:uiPriority w:val="99"/>
    <w:unhideWhenUsed/>
    <w:rsid w:val="00044B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4B1A"/>
  </w:style>
  <w:style w:type="paragraph" w:styleId="Voettekst">
    <w:name w:val="footer"/>
    <w:basedOn w:val="Standaard"/>
    <w:link w:val="VoettekstChar"/>
    <w:uiPriority w:val="99"/>
    <w:unhideWhenUsed/>
    <w:rsid w:val="00044B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4B1A"/>
  </w:style>
  <w:style w:type="paragraph" w:styleId="Lijstalinea">
    <w:name w:val="List Paragraph"/>
    <w:basedOn w:val="Standaard"/>
    <w:uiPriority w:val="34"/>
    <w:qFormat/>
    <w:rsid w:val="00116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1996</Words>
  <Characters>10982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Voets, P.J.G.M. (Philip)</cp:lastModifiedBy>
  <cp:revision>3</cp:revision>
  <dcterms:created xsi:type="dcterms:W3CDTF">2022-09-20T07:45:00Z</dcterms:created>
  <dcterms:modified xsi:type="dcterms:W3CDTF">2022-09-20T16:49:00Z</dcterms:modified>
</cp:coreProperties>
</file>